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accord-cadre-de-maintenance-informatique"/>
    <w:p>
      <w:pPr>
        <w:pStyle w:val="Heading1"/>
      </w:pPr>
      <w:r>
        <w:t xml:space="preserve">ACCORD-CADRE DE MAINTENANCE INFORMATIQUE</w:t>
      </w:r>
    </w:p>
    <w:p>
      <w:pPr>
        <w:pStyle w:val="FirstParagraph"/>
      </w:pPr>
      <w:r>
        <w:rPr>
          <w:b/>
          <w:bCs/>
        </w:rPr>
        <w:t xml:space="preserve">Entre: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Client:</w:t>
      </w:r>
      <w:r>
        <w:t xml:space="preserve"> </w:t>
      </w:r>
      <w:r>
        <w:t xml:space="preserve">EDF SA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Prestataire:</w:t>
      </w:r>
      <w:r>
        <w:t xml:space="preserve"> </w:t>
      </w:r>
      <w:r>
        <w:t xml:space="preserve">TechSupport Europe SARL</w:t>
      </w:r>
    </w:p>
    <w:p>
      <w:pPr>
        <w:pStyle w:val="BodyText"/>
      </w:pPr>
      <w:r>
        <w:t xml:space="preserve">Date: 1er janvier 2024</w:t>
      </w:r>
      <w:r>
        <w:t xml:space="preserve"> </w:t>
      </w:r>
      <w:r>
        <w:t xml:space="preserve">Durée: 3 ans</w:t>
      </w:r>
    </w:p>
    <w:p>
      <w:r>
        <w:pict>
          <v:rect style="width:0;height:1.5pt" o:hralign="center" o:hrstd="t" o:hr="t"/>
        </w:pict>
      </w:r>
    </w:p>
    <w:bookmarkStart w:id="14" w:name="prestations-fournies"/>
    <w:p>
      <w:pPr>
        <w:pStyle w:val="Heading2"/>
      </w:pPr>
      <w:r>
        <w:t xml:space="preserve">1. PRESTATIONS FOURNIES</w:t>
      </w:r>
    </w:p>
    <w:bookmarkStart w:id="11" w:name="support-technique"/>
    <w:p>
      <w:pPr>
        <w:pStyle w:val="Heading3"/>
      </w:pPr>
      <w:r>
        <w:t xml:space="preserve">1.1 Support Technique</w:t>
      </w:r>
    </w:p>
    <w:p>
      <w:pPr>
        <w:pStyle w:val="FirstParagraph"/>
      </w:pPr>
      <w:r>
        <w:rPr>
          <w:b/>
          <w:bCs/>
        </w:rPr>
        <w:t xml:space="preserve">Niveaux de Support:</w:t>
      </w:r>
    </w:p>
    <w:bookmarkStart w:id="9" w:name="niveau-1---support-standard-5j7"/>
    <w:p>
      <w:pPr>
        <w:pStyle w:val="Heading4"/>
      </w:pPr>
      <w:r>
        <w:t xml:space="preserve">Niveau 1 - Support Standard (5j/7)</w:t>
      </w:r>
    </w:p>
    <w:p>
      <w:pPr>
        <w:pStyle w:val="Compact"/>
        <w:numPr>
          <w:ilvl w:val="0"/>
          <w:numId w:val="1001"/>
        </w:numPr>
      </w:pPr>
      <w:r>
        <w:t xml:space="preserve">Horaires: 9h-17h (lundi-vendredi)</w:t>
      </w:r>
    </w:p>
    <w:p>
      <w:pPr>
        <w:pStyle w:val="Compact"/>
        <w:numPr>
          <w:ilvl w:val="0"/>
          <w:numId w:val="1001"/>
        </w:numPr>
      </w:pPr>
      <w:r>
        <w:t xml:space="preserve">Temps de réponse: 4 heures</w:t>
      </w:r>
    </w:p>
    <w:p>
      <w:pPr>
        <w:pStyle w:val="Compact"/>
        <w:numPr>
          <w:ilvl w:val="0"/>
          <w:numId w:val="1001"/>
        </w:numPr>
      </w:pPr>
      <w:r>
        <w:t xml:space="preserve">Temps de résolution: 24 heures</w:t>
      </w:r>
    </w:p>
    <w:p>
      <w:pPr>
        <w:pStyle w:val="Compact"/>
        <w:numPr>
          <w:ilvl w:val="0"/>
          <w:numId w:val="1001"/>
        </w:numPr>
      </w:pPr>
      <w:r>
        <w:t xml:space="preserve">Incidents critiques: 2 heures</w:t>
      </w:r>
    </w:p>
    <w:bookmarkEnd w:id="9"/>
    <w:bookmarkStart w:id="10" w:name="niveau-2---support-premium-7j7"/>
    <w:p>
      <w:pPr>
        <w:pStyle w:val="Heading4"/>
      </w:pPr>
      <w:r>
        <w:t xml:space="preserve">Niveau 2 - Support Premium (7j/7)</w:t>
      </w:r>
    </w:p>
    <w:p>
      <w:pPr>
        <w:pStyle w:val="Compact"/>
        <w:numPr>
          <w:ilvl w:val="0"/>
          <w:numId w:val="1002"/>
        </w:numPr>
      </w:pPr>
      <w:r>
        <w:t xml:space="preserve">Horaires: 24h/24, 7j/7</w:t>
      </w:r>
    </w:p>
    <w:p>
      <w:pPr>
        <w:pStyle w:val="Compact"/>
        <w:numPr>
          <w:ilvl w:val="0"/>
          <w:numId w:val="1002"/>
        </w:numPr>
      </w:pPr>
      <w:r>
        <w:t xml:space="preserve">Temps de réponse: 1 heure</w:t>
      </w:r>
    </w:p>
    <w:p>
      <w:pPr>
        <w:pStyle w:val="Compact"/>
        <w:numPr>
          <w:ilvl w:val="0"/>
          <w:numId w:val="1002"/>
        </w:numPr>
      </w:pPr>
      <w:r>
        <w:t xml:space="preserve">Temps de résolution: 4 heures</w:t>
      </w:r>
    </w:p>
    <w:p>
      <w:pPr>
        <w:pStyle w:val="Compact"/>
        <w:numPr>
          <w:ilvl w:val="0"/>
          <w:numId w:val="1002"/>
        </w:numPr>
      </w:pPr>
      <w:r>
        <w:t xml:space="preserve">Incidents critiques: immédiat</w:t>
      </w:r>
    </w:p>
    <w:bookmarkEnd w:id="10"/>
    <w:bookmarkEnd w:id="11"/>
    <w:bookmarkStart w:id="12" w:name="services-inclus"/>
    <w:p>
      <w:pPr>
        <w:pStyle w:val="Heading3"/>
      </w:pPr>
      <w:r>
        <w:t xml:space="preserve">1.2 Services Inclus</w:t>
      </w:r>
    </w:p>
    <w:p>
      <w:pPr>
        <w:pStyle w:val="Compact"/>
        <w:numPr>
          <w:ilvl w:val="0"/>
          <w:numId w:val="1003"/>
        </w:numPr>
      </w:pPr>
      <w:r>
        <w:t xml:space="preserve">Diagnostic et dépannage à distance</w:t>
      </w:r>
    </w:p>
    <w:p>
      <w:pPr>
        <w:pStyle w:val="Compact"/>
        <w:numPr>
          <w:ilvl w:val="0"/>
          <w:numId w:val="1003"/>
        </w:numPr>
      </w:pPr>
      <w:r>
        <w:t xml:space="preserve">Support téléphonique et email</w:t>
      </w:r>
    </w:p>
    <w:p>
      <w:pPr>
        <w:pStyle w:val="Compact"/>
        <w:numPr>
          <w:ilvl w:val="0"/>
          <w:numId w:val="1003"/>
        </w:numPr>
      </w:pPr>
      <w:r>
        <w:t xml:space="preserve">Accès hotline urgence</w:t>
      </w:r>
    </w:p>
    <w:p>
      <w:pPr>
        <w:pStyle w:val="Compact"/>
        <w:numPr>
          <w:ilvl w:val="0"/>
          <w:numId w:val="1003"/>
        </w:numPr>
      </w:pPr>
      <w:r>
        <w:t xml:space="preserve">Tickets de support illimités</w:t>
      </w:r>
    </w:p>
    <w:p>
      <w:pPr>
        <w:pStyle w:val="Compact"/>
        <w:numPr>
          <w:ilvl w:val="0"/>
          <w:numId w:val="1003"/>
        </w:numPr>
      </w:pPr>
      <w:r>
        <w:t xml:space="preserve">Base de connaissances en ligne</w:t>
      </w:r>
    </w:p>
    <w:p>
      <w:pPr>
        <w:pStyle w:val="Compact"/>
        <w:numPr>
          <w:ilvl w:val="0"/>
          <w:numId w:val="1003"/>
        </w:numPr>
      </w:pPr>
      <w:r>
        <w:t xml:space="preserve">Mises à jour de sécurité</w:t>
      </w:r>
    </w:p>
    <w:p>
      <w:pPr>
        <w:pStyle w:val="Compact"/>
        <w:numPr>
          <w:ilvl w:val="0"/>
          <w:numId w:val="1003"/>
        </w:numPr>
      </w:pPr>
      <w:r>
        <w:t xml:space="preserve">Rapports mensuels d’activité</w:t>
      </w:r>
    </w:p>
    <w:bookmarkEnd w:id="12"/>
    <w:bookmarkStart w:id="13" w:name="services-optionnels"/>
    <w:p>
      <w:pPr>
        <w:pStyle w:val="Heading3"/>
      </w:pPr>
      <w:r>
        <w:t xml:space="preserve">1.3 Services Optionnels</w:t>
      </w:r>
    </w:p>
    <w:p>
      <w:pPr>
        <w:pStyle w:val="Compact"/>
        <w:numPr>
          <w:ilvl w:val="0"/>
          <w:numId w:val="1004"/>
        </w:numPr>
      </w:pPr>
      <w:r>
        <w:t xml:space="preserve">Visite sur site (+150 €/intervention)</w:t>
      </w:r>
    </w:p>
    <w:p>
      <w:pPr>
        <w:pStyle w:val="Compact"/>
        <w:numPr>
          <w:ilvl w:val="0"/>
          <w:numId w:val="1004"/>
        </w:numPr>
      </w:pPr>
      <w:r>
        <w:t xml:space="preserve">Remplacement matériel (+250 €/pièce)</w:t>
      </w:r>
    </w:p>
    <w:p>
      <w:pPr>
        <w:pStyle w:val="Compact"/>
        <w:numPr>
          <w:ilvl w:val="0"/>
          <w:numId w:val="1004"/>
        </w:numPr>
      </w:pPr>
      <w:r>
        <w:t xml:space="preserve">Formation utilisateurs (+75 €/heure)</w:t>
      </w:r>
    </w:p>
    <w:p>
      <w:pPr>
        <w:pStyle w:val="Compact"/>
        <w:numPr>
          <w:ilvl w:val="0"/>
          <w:numId w:val="1004"/>
        </w:numPr>
      </w:pPr>
      <w:r>
        <w:t xml:space="preserve">Développement spécifique (+100 €/heure)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tarification"/>
    <w:p>
      <w:pPr>
        <w:pStyle w:val="Heading2"/>
      </w:pPr>
      <w:r>
        <w:t xml:space="preserve">2. TARIFICATION</w:t>
      </w:r>
    </w:p>
    <w:bookmarkStart w:id="15" w:name="forfait-mensuel"/>
    <w:p>
      <w:pPr>
        <w:pStyle w:val="Heading3"/>
      </w:pPr>
      <w:r>
        <w:t xml:space="preserve">2.1 Forfait Mensuel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Coût Mensuel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 Standard</w:t>
            </w:r>
          </w:p>
        </w:tc>
        <w:tc>
          <w:tcPr/>
          <w:p>
            <w:pPr>
              <w:pStyle w:val="Compact"/>
            </w:pPr>
            <w:r>
              <w:t xml:space="preserve">2 500 €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 Premium</w:t>
            </w:r>
          </w:p>
        </w:tc>
        <w:tc>
          <w:tcPr/>
          <w:p>
            <w:pPr>
              <w:pStyle w:val="Compact"/>
            </w:pPr>
            <w:r>
              <w:t xml:space="preserve">5 000 €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Licence Monitoring</w:t>
            </w:r>
          </w:p>
        </w:tc>
        <w:tc>
          <w:tcPr/>
          <w:p>
            <w:pPr>
              <w:pStyle w:val="Compact"/>
            </w:pPr>
            <w:r>
              <w:t xml:space="preserve">800 €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Mise à jour sécurité</w:t>
            </w:r>
          </w:p>
        </w:tc>
        <w:tc>
          <w:tcPr/>
          <w:p>
            <w:pPr>
              <w:pStyle w:val="Compact"/>
            </w:pPr>
            <w:r>
              <w:t xml:space="preserve">400 €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Estimation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9 200 €</w:t>
            </w:r>
          </w:p>
        </w:tc>
      </w:tr>
    </w:tbl>
    <w:bookmarkEnd w:id="15"/>
    <w:bookmarkStart w:id="16" w:name="révision-des-prix"/>
    <w:p>
      <w:pPr>
        <w:pStyle w:val="Heading3"/>
      </w:pPr>
      <w:r>
        <w:t xml:space="preserve">2.2 Révision des Prix</w:t>
      </w:r>
    </w:p>
    <w:p>
      <w:pPr>
        <w:pStyle w:val="Compact"/>
        <w:numPr>
          <w:ilvl w:val="0"/>
          <w:numId w:val="1005"/>
        </w:numPr>
      </w:pPr>
      <w:r>
        <w:t xml:space="preserve">Augmentation annuelle: 3% maximum</w:t>
      </w:r>
    </w:p>
    <w:p>
      <w:pPr>
        <w:pStyle w:val="Compact"/>
        <w:numPr>
          <w:ilvl w:val="0"/>
          <w:numId w:val="1005"/>
        </w:numPr>
      </w:pPr>
      <w:r>
        <w:t xml:space="preserve">Révision basée sur l’indice INSEE</w:t>
      </w:r>
    </w:p>
    <w:bookmarkEnd w:id="16"/>
    <w:bookmarkStart w:id="17" w:name="facturation"/>
    <w:p>
      <w:pPr>
        <w:pStyle w:val="Heading3"/>
      </w:pPr>
      <w:r>
        <w:t xml:space="preserve">2.3 Facturation</w:t>
      </w:r>
    </w:p>
    <w:p>
      <w:pPr>
        <w:pStyle w:val="Compact"/>
        <w:numPr>
          <w:ilvl w:val="0"/>
          <w:numId w:val="1006"/>
        </w:numPr>
      </w:pPr>
      <w:r>
        <w:t xml:space="preserve">Facture mensuelle, payable net 30 jours</w:t>
      </w:r>
    </w:p>
    <w:p>
      <w:pPr>
        <w:pStyle w:val="Compact"/>
        <w:numPr>
          <w:ilvl w:val="0"/>
          <w:numId w:val="1006"/>
        </w:numPr>
      </w:pPr>
      <w:r>
        <w:t xml:space="preserve">Engagement minimum: 12 mois</w:t>
      </w:r>
    </w:p>
    <w:p>
      <w:pPr>
        <w:pStyle w:val="Compact"/>
        <w:numPr>
          <w:ilvl w:val="0"/>
          <w:numId w:val="1006"/>
        </w:numPr>
      </w:pPr>
      <w:r>
        <w:t xml:space="preserve">Résiliation: 60 jours avant fin de période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qualité-de-service-sla"/>
    <w:p>
      <w:pPr>
        <w:pStyle w:val="Heading2"/>
      </w:pPr>
      <w:r>
        <w:t xml:space="preserve">3. QUALITÉ DE SERVICE (SLA)</w:t>
      </w:r>
    </w:p>
    <w:bookmarkStart w:id="19" w:name="disponibilité"/>
    <w:p>
      <w:pPr>
        <w:pStyle w:val="Heading3"/>
      </w:pPr>
      <w:r>
        <w:t xml:space="preserve">3.1 Disponibilité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Cible:</w:t>
      </w:r>
      <w:r>
        <w:t xml:space="preserve"> </w:t>
      </w:r>
      <w:r>
        <w:t xml:space="preserve">99% de disponibilité annuelle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Indisponibilité acceptable:</w:t>
      </w:r>
      <w:r>
        <w:t xml:space="preserve"> </w:t>
      </w:r>
      <w:r>
        <w:t xml:space="preserve">87,6 heures/an maximum</w:t>
      </w:r>
    </w:p>
    <w:bookmarkEnd w:id="19"/>
    <w:bookmarkStart w:id="20" w:name="temps-de-réponse"/>
    <w:p>
      <w:pPr>
        <w:pStyle w:val="Heading3"/>
      </w:pPr>
      <w:r>
        <w:t xml:space="preserve">3.2 Temps de Réponse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Niveau 1</w:t>
            </w:r>
          </w:p>
        </w:tc>
        <w:tc>
          <w:tcPr/>
          <w:p>
            <w:pPr>
              <w:pStyle w:val="Compact"/>
            </w:pPr>
            <w:r>
              <w:t xml:space="preserve">Niveau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Critique (P1)</w:t>
            </w:r>
          </w:p>
        </w:tc>
        <w:tc>
          <w:tcPr/>
          <w:p>
            <w:pPr>
              <w:pStyle w:val="Compact"/>
            </w:pPr>
            <w:r>
              <w:t xml:space="preserve">2h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Haute (P2)</w:t>
            </w:r>
          </w:p>
        </w:tc>
        <w:tc>
          <w:tcPr/>
          <w:p>
            <w:pPr>
              <w:pStyle w:val="Compact"/>
            </w:pPr>
            <w:r>
              <w:t xml:space="preserve">4h</w:t>
            </w:r>
          </w:p>
        </w:tc>
        <w:tc>
          <w:tcPr/>
          <w:p>
            <w:pPr>
              <w:pStyle w:val="Compact"/>
            </w:pPr>
            <w:r>
              <w:t xml:space="preserve">2h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Moyenne (P3)</w:t>
            </w:r>
          </w:p>
        </w:tc>
        <w:tc>
          <w:tcPr/>
          <w:p>
            <w:pPr>
              <w:pStyle w:val="Compact"/>
            </w:pPr>
            <w:r>
              <w:t xml:space="preserve">8h</w:t>
            </w:r>
          </w:p>
        </w:tc>
        <w:tc>
          <w:tcPr/>
          <w:p>
            <w:pPr>
              <w:pStyle w:val="Compact"/>
            </w:pPr>
            <w:r>
              <w:t xml:space="preserve">4h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Basse (P4)</w:t>
            </w:r>
          </w:p>
        </w:tc>
        <w:tc>
          <w:tcPr/>
          <w:p>
            <w:pPr>
              <w:pStyle w:val="Compact"/>
            </w:pPr>
            <w:r>
              <w:t xml:space="preserve">24h</w:t>
            </w:r>
          </w:p>
        </w:tc>
        <w:tc>
          <w:tcPr/>
          <w:p>
            <w:pPr>
              <w:pStyle w:val="Compact"/>
            </w:pPr>
            <w:r>
              <w:t xml:space="preserve">8h</w:t>
            </w:r>
          </w:p>
        </w:tc>
      </w:tr>
    </w:tbl>
    <w:bookmarkEnd w:id="20"/>
    <w:bookmarkStart w:id="21" w:name="taux-de-résolution"/>
    <w:p>
      <w:pPr>
        <w:pStyle w:val="Heading3"/>
      </w:pPr>
      <w:r>
        <w:t xml:space="preserve">3.3 Taux de Résolution</w:t>
      </w:r>
    </w:p>
    <w:p>
      <w:pPr>
        <w:pStyle w:val="Compact"/>
        <w:numPr>
          <w:ilvl w:val="0"/>
          <w:numId w:val="1008"/>
        </w:numPr>
      </w:pPr>
      <w:r>
        <w:t xml:space="preserve">P1: 90% dans 24h</w:t>
      </w:r>
    </w:p>
    <w:p>
      <w:pPr>
        <w:pStyle w:val="Compact"/>
        <w:numPr>
          <w:ilvl w:val="0"/>
          <w:numId w:val="1008"/>
        </w:numPr>
      </w:pPr>
      <w:r>
        <w:t xml:space="preserve">P2: 80% dans 48h</w:t>
      </w:r>
    </w:p>
    <w:p>
      <w:pPr>
        <w:pStyle w:val="Compact"/>
        <w:numPr>
          <w:ilvl w:val="0"/>
          <w:numId w:val="1008"/>
        </w:numPr>
      </w:pPr>
      <w:r>
        <w:t xml:space="preserve">P3: 70% dans 72h</w:t>
      </w:r>
    </w:p>
    <w:p>
      <w:pPr>
        <w:pStyle w:val="Compact"/>
        <w:numPr>
          <w:ilvl w:val="0"/>
          <w:numId w:val="1008"/>
        </w:numPr>
      </w:pPr>
      <w:r>
        <w:t xml:space="preserve">P4: 60% dans 1 semaine</w:t>
      </w:r>
    </w:p>
    <w:bookmarkEnd w:id="21"/>
    <w:bookmarkStart w:id="22" w:name="pénalités-de-non-respect"/>
    <w:p>
      <w:pPr>
        <w:pStyle w:val="Heading3"/>
      </w:pPr>
      <w:r>
        <w:t xml:space="preserve">3.4 Pénalités de Non-Respect</w:t>
      </w:r>
    </w:p>
    <w:p>
      <w:pPr>
        <w:pStyle w:val="FirstParagraph"/>
      </w:pPr>
      <w:r>
        <w:t xml:space="preserve">En cas de non-respect des SLA:</w:t>
      </w:r>
      <w:r>
        <w:t xml:space="preserve"> </w:t>
      </w:r>
      <w:r>
        <w:t xml:space="preserve">- 1-5% manqué: 500 € crédit</w:t>
      </w:r>
      <w:r>
        <w:t xml:space="preserve"> </w:t>
      </w:r>
      <w:r>
        <w:t xml:space="preserve">- 5-10% manqué: 1 000 € crédit</w:t>
      </w:r>
      <w:r>
        <w:t xml:space="preserve"> </w:t>
      </w:r>
      <w:r>
        <w:t xml:space="preserve">- &gt;10% manqué: 2 000 € crédit + résiliation possible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technologies-supportées"/>
    <w:p>
      <w:pPr>
        <w:pStyle w:val="Heading2"/>
      </w:pPr>
      <w:r>
        <w:t xml:space="preserve">4. TECHNOLOGIES SUPPORTÉES</w:t>
      </w:r>
    </w:p>
    <w:bookmarkStart w:id="24" w:name="systèmes-dexploitation"/>
    <w:p>
      <w:pPr>
        <w:pStyle w:val="Heading3"/>
      </w:pPr>
      <w:r>
        <w:t xml:space="preserve">4.1 Systèmes d’Exploitation</w:t>
      </w:r>
    </w:p>
    <w:p>
      <w:pPr>
        <w:pStyle w:val="Compact"/>
        <w:numPr>
          <w:ilvl w:val="0"/>
          <w:numId w:val="1009"/>
        </w:numPr>
      </w:pPr>
      <w:r>
        <w:t xml:space="preserve">Windows 10/11 Enterprise</w:t>
      </w:r>
    </w:p>
    <w:p>
      <w:pPr>
        <w:pStyle w:val="Compact"/>
        <w:numPr>
          <w:ilvl w:val="0"/>
          <w:numId w:val="1009"/>
        </w:numPr>
      </w:pPr>
      <w:r>
        <w:t xml:space="preserve">Windows Server 2019/2022</w:t>
      </w:r>
    </w:p>
    <w:p>
      <w:pPr>
        <w:pStyle w:val="Compact"/>
        <w:numPr>
          <w:ilvl w:val="0"/>
          <w:numId w:val="1009"/>
        </w:numPr>
      </w:pPr>
      <w:r>
        <w:t xml:space="preserve">Linux Ubuntu 20.04/22.04</w:t>
      </w:r>
    </w:p>
    <w:p>
      <w:pPr>
        <w:pStyle w:val="Compact"/>
        <w:numPr>
          <w:ilvl w:val="0"/>
          <w:numId w:val="1009"/>
        </w:numPr>
      </w:pPr>
      <w:r>
        <w:t xml:space="preserve">macOS 12+</w:t>
      </w:r>
    </w:p>
    <w:bookmarkEnd w:id="24"/>
    <w:bookmarkStart w:id="25" w:name="applications-supportées"/>
    <w:p>
      <w:pPr>
        <w:pStyle w:val="Heading3"/>
      </w:pPr>
      <w:r>
        <w:t xml:space="preserve">4.2 Applications Supportées</w:t>
      </w:r>
    </w:p>
    <w:p>
      <w:pPr>
        <w:pStyle w:val="Compact"/>
        <w:numPr>
          <w:ilvl w:val="0"/>
          <w:numId w:val="1010"/>
        </w:numPr>
      </w:pPr>
      <w:r>
        <w:t xml:space="preserve">Microsoft Office 365</w:t>
      </w:r>
    </w:p>
    <w:p>
      <w:pPr>
        <w:pStyle w:val="Compact"/>
        <w:numPr>
          <w:ilvl w:val="0"/>
          <w:numId w:val="1010"/>
        </w:numPr>
      </w:pPr>
      <w:r>
        <w:t xml:space="preserve">Adobe Creative Suite</w:t>
      </w:r>
    </w:p>
    <w:p>
      <w:pPr>
        <w:pStyle w:val="Compact"/>
        <w:numPr>
          <w:ilvl w:val="0"/>
          <w:numId w:val="1010"/>
        </w:numPr>
      </w:pPr>
      <w:r>
        <w:t xml:space="preserve">Salesforce</w:t>
      </w:r>
    </w:p>
    <w:p>
      <w:pPr>
        <w:pStyle w:val="Compact"/>
        <w:numPr>
          <w:ilvl w:val="0"/>
          <w:numId w:val="1010"/>
        </w:numPr>
      </w:pPr>
      <w:r>
        <w:t xml:space="preserve">SAP</w:t>
      </w:r>
    </w:p>
    <w:p>
      <w:pPr>
        <w:pStyle w:val="Compact"/>
        <w:numPr>
          <w:ilvl w:val="0"/>
          <w:numId w:val="1010"/>
        </w:numPr>
      </w:pPr>
      <w:r>
        <w:t xml:space="preserve">Oracle Database</w:t>
      </w:r>
    </w:p>
    <w:p>
      <w:pPr>
        <w:pStyle w:val="Compact"/>
        <w:numPr>
          <w:ilvl w:val="0"/>
          <w:numId w:val="1010"/>
        </w:numPr>
      </w:pPr>
      <w:r>
        <w:t xml:space="preserve">PostgreSQL/MySQL</w:t>
      </w:r>
    </w:p>
    <w:bookmarkEnd w:id="25"/>
    <w:bookmarkStart w:id="26" w:name="infrastructure-réseau"/>
    <w:p>
      <w:pPr>
        <w:pStyle w:val="Heading3"/>
      </w:pPr>
      <w:r>
        <w:t xml:space="preserve">4.3 Infrastructure Réseau</w:t>
      </w:r>
    </w:p>
    <w:p>
      <w:pPr>
        <w:pStyle w:val="Compact"/>
        <w:numPr>
          <w:ilvl w:val="0"/>
          <w:numId w:val="1011"/>
        </w:numPr>
      </w:pPr>
      <w:r>
        <w:t xml:space="preserve">Routeurs Cisco/Juniper</w:t>
      </w:r>
    </w:p>
    <w:p>
      <w:pPr>
        <w:pStyle w:val="Compact"/>
        <w:numPr>
          <w:ilvl w:val="0"/>
          <w:numId w:val="1011"/>
        </w:numPr>
      </w:pPr>
      <w:r>
        <w:t xml:space="preserve">Switches réseau</w:t>
      </w:r>
    </w:p>
    <w:p>
      <w:pPr>
        <w:pStyle w:val="Compact"/>
        <w:numPr>
          <w:ilvl w:val="0"/>
          <w:numId w:val="1011"/>
        </w:numPr>
      </w:pPr>
      <w:r>
        <w:t xml:space="preserve">Pare-feu Fortinet/Palo Alto</w:t>
      </w:r>
    </w:p>
    <w:p>
      <w:pPr>
        <w:pStyle w:val="Compact"/>
        <w:numPr>
          <w:ilvl w:val="0"/>
          <w:numId w:val="1011"/>
        </w:numPr>
      </w:pPr>
      <w:r>
        <w:t xml:space="preserve">Load Balancers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responsabilités"/>
    <w:p>
      <w:pPr>
        <w:pStyle w:val="Heading2"/>
      </w:pPr>
      <w:r>
        <w:t xml:space="preserve">5. RESPONSABILITÉS</w:t>
      </w:r>
    </w:p>
    <w:bookmarkStart w:id="28" w:name="du-prestataire"/>
    <w:p>
      <w:pPr>
        <w:pStyle w:val="Heading3"/>
      </w:pPr>
      <w:r>
        <w:t xml:space="preserve">5.1 Du Prestataire</w:t>
      </w:r>
    </w:p>
    <w:p>
      <w:pPr>
        <w:pStyle w:val="Compact"/>
        <w:numPr>
          <w:ilvl w:val="0"/>
          <w:numId w:val="1012"/>
        </w:numPr>
      </w:pPr>
      <w:r>
        <w:t xml:space="preserve">Fourniture du service dans les SLA convenus</w:t>
      </w:r>
    </w:p>
    <w:p>
      <w:pPr>
        <w:pStyle w:val="Compact"/>
        <w:numPr>
          <w:ilvl w:val="0"/>
          <w:numId w:val="1012"/>
        </w:numPr>
      </w:pPr>
      <w:r>
        <w:t xml:space="preserve">Confidentialité des données du client</w:t>
      </w:r>
    </w:p>
    <w:p>
      <w:pPr>
        <w:pStyle w:val="Compact"/>
        <w:numPr>
          <w:ilvl w:val="0"/>
          <w:numId w:val="1012"/>
        </w:numPr>
      </w:pPr>
      <w:r>
        <w:t xml:space="preserve">Assurance Responsabilité Civile: 2 000 000 €</w:t>
      </w:r>
    </w:p>
    <w:p>
      <w:pPr>
        <w:pStyle w:val="Compact"/>
        <w:numPr>
          <w:ilvl w:val="0"/>
          <w:numId w:val="1012"/>
        </w:numPr>
      </w:pPr>
      <w:r>
        <w:t xml:space="preserve">Mise à jour des connaissances techniques</w:t>
      </w:r>
    </w:p>
    <w:p>
      <w:pPr>
        <w:pStyle w:val="Compact"/>
        <w:numPr>
          <w:ilvl w:val="0"/>
          <w:numId w:val="1012"/>
        </w:numPr>
      </w:pPr>
      <w:r>
        <w:t xml:space="preserve">Documentation complète</w:t>
      </w:r>
    </w:p>
    <w:p>
      <w:pPr>
        <w:pStyle w:val="Compact"/>
        <w:numPr>
          <w:ilvl w:val="0"/>
          <w:numId w:val="1012"/>
        </w:numPr>
      </w:pPr>
      <w:r>
        <w:t xml:space="preserve">Support technique 24h/24 (Niveau 2)</w:t>
      </w:r>
    </w:p>
    <w:bookmarkEnd w:id="28"/>
    <w:bookmarkStart w:id="29" w:name="du-client"/>
    <w:p>
      <w:pPr>
        <w:pStyle w:val="Heading3"/>
      </w:pPr>
      <w:r>
        <w:t xml:space="preserve">5.2 Du Client</w:t>
      </w:r>
    </w:p>
    <w:p>
      <w:pPr>
        <w:pStyle w:val="Compact"/>
        <w:numPr>
          <w:ilvl w:val="0"/>
          <w:numId w:val="1013"/>
        </w:numPr>
      </w:pPr>
      <w:r>
        <w:t xml:space="preserve">Paiement à terme convenu</w:t>
      </w:r>
    </w:p>
    <w:p>
      <w:pPr>
        <w:pStyle w:val="Compact"/>
        <w:numPr>
          <w:ilvl w:val="0"/>
          <w:numId w:val="1013"/>
        </w:numPr>
      </w:pPr>
      <w:r>
        <w:t xml:space="preserve">Accès aux systèmes pour diagnostic</w:t>
      </w:r>
    </w:p>
    <w:p>
      <w:pPr>
        <w:pStyle w:val="Compact"/>
        <w:numPr>
          <w:ilvl w:val="0"/>
          <w:numId w:val="1013"/>
        </w:numPr>
      </w:pPr>
      <w:r>
        <w:t xml:space="preserve">Signalement rapide des incidents</w:t>
      </w:r>
    </w:p>
    <w:p>
      <w:pPr>
        <w:pStyle w:val="Compact"/>
        <w:numPr>
          <w:ilvl w:val="0"/>
          <w:numId w:val="1013"/>
        </w:numPr>
      </w:pPr>
      <w:r>
        <w:t xml:space="preserve">Fourniture des identifiants et mots de passe autorisés</w:t>
      </w:r>
    </w:p>
    <w:p>
      <w:pPr>
        <w:pStyle w:val="Compact"/>
        <w:numPr>
          <w:ilvl w:val="0"/>
          <w:numId w:val="1013"/>
        </w:numPr>
      </w:pPr>
      <w:r>
        <w:t xml:space="preserve">Sauvegarde régulière des données</w:t>
      </w:r>
    </w:p>
    <w:p>
      <w:pPr>
        <w:pStyle w:val="Compact"/>
        <w:numPr>
          <w:ilvl w:val="0"/>
          <w:numId w:val="1013"/>
        </w:numPr>
      </w:pPr>
      <w:r>
        <w:t xml:space="preserve">Participation aux tests de maintenance planifiée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sécurité-informatique"/>
    <w:p>
      <w:pPr>
        <w:pStyle w:val="Heading2"/>
      </w:pPr>
      <w:r>
        <w:t xml:space="preserve">6. SÉCURITÉ INFORMATIQUE</w:t>
      </w:r>
    </w:p>
    <w:bookmarkStart w:id="31" w:name="obligations-du-prestataire"/>
    <w:p>
      <w:pPr>
        <w:pStyle w:val="Heading3"/>
      </w:pPr>
      <w:r>
        <w:t xml:space="preserve">6.1 Obligations du Prestataire</w:t>
      </w:r>
    </w:p>
    <w:p>
      <w:pPr>
        <w:pStyle w:val="Compact"/>
        <w:numPr>
          <w:ilvl w:val="0"/>
          <w:numId w:val="1014"/>
        </w:numPr>
      </w:pPr>
      <w:r>
        <w:t xml:space="preserve">Chiffrement de toute donnée en transit</w:t>
      </w:r>
    </w:p>
    <w:p>
      <w:pPr>
        <w:pStyle w:val="Compact"/>
        <w:numPr>
          <w:ilvl w:val="0"/>
          <w:numId w:val="1014"/>
        </w:numPr>
      </w:pPr>
      <w:r>
        <w:t xml:space="preserve">Authentification multi-facteur pour l’accès</w:t>
      </w:r>
    </w:p>
    <w:p>
      <w:pPr>
        <w:pStyle w:val="Compact"/>
        <w:numPr>
          <w:ilvl w:val="0"/>
          <w:numId w:val="1014"/>
        </w:numPr>
      </w:pPr>
      <w:r>
        <w:t xml:space="preserve">Logs d’audit de toutes les interventions</w:t>
      </w:r>
    </w:p>
    <w:p>
      <w:pPr>
        <w:pStyle w:val="Compact"/>
        <w:numPr>
          <w:ilvl w:val="0"/>
          <w:numId w:val="1014"/>
        </w:numPr>
      </w:pPr>
      <w:r>
        <w:t xml:space="preserve">Audit de sécurité annuel</w:t>
      </w:r>
    </w:p>
    <w:p>
      <w:pPr>
        <w:pStyle w:val="Compact"/>
        <w:numPr>
          <w:ilvl w:val="0"/>
          <w:numId w:val="1014"/>
        </w:numPr>
      </w:pPr>
      <w:r>
        <w:t xml:space="preserve">Conformité RGPD et ISO 27001</w:t>
      </w:r>
    </w:p>
    <w:p>
      <w:pPr>
        <w:pStyle w:val="Compact"/>
        <w:numPr>
          <w:ilvl w:val="0"/>
          <w:numId w:val="1014"/>
        </w:numPr>
      </w:pPr>
      <w:r>
        <w:t xml:space="preserve">Destruction sécurisée des données après résiliation</w:t>
      </w:r>
    </w:p>
    <w:bookmarkEnd w:id="31"/>
    <w:bookmarkStart w:id="32" w:name="incident-de-sécurité"/>
    <w:p>
      <w:pPr>
        <w:pStyle w:val="Heading3"/>
      </w:pPr>
      <w:r>
        <w:t xml:space="preserve">6.2 Incident de Sécurité</w:t>
      </w:r>
    </w:p>
    <w:p>
      <w:pPr>
        <w:pStyle w:val="Compact"/>
        <w:numPr>
          <w:ilvl w:val="0"/>
          <w:numId w:val="1015"/>
        </w:numPr>
      </w:pPr>
      <w:r>
        <w:t xml:space="preserve">Notification dans les 24h en cas de brèche</w:t>
      </w:r>
    </w:p>
    <w:p>
      <w:pPr>
        <w:pStyle w:val="Compact"/>
        <w:numPr>
          <w:ilvl w:val="0"/>
          <w:numId w:val="1015"/>
        </w:numPr>
      </w:pPr>
      <w:r>
        <w:t xml:space="preserve">Plan de réponse aux incidents</w:t>
      </w:r>
    </w:p>
    <w:p>
      <w:pPr>
        <w:pStyle w:val="Compact"/>
        <w:numPr>
          <w:ilvl w:val="0"/>
          <w:numId w:val="1015"/>
        </w:numPr>
      </w:pPr>
      <w:r>
        <w:t xml:space="preserve">Analyse de l’incident dans les 48h</w:t>
      </w:r>
    </w:p>
    <w:p>
      <w:pPr>
        <w:pStyle w:val="Compact"/>
        <w:numPr>
          <w:ilvl w:val="0"/>
          <w:numId w:val="1015"/>
        </w:numPr>
      </w:pPr>
      <w:r>
        <w:t xml:space="preserve">Rapport complet dans les 7 jours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maintenance-planifiée"/>
    <w:p>
      <w:pPr>
        <w:pStyle w:val="Heading2"/>
      </w:pPr>
      <w:r>
        <w:t xml:space="preserve">7. MAINTENANCE PLANIFIÉE</w:t>
      </w:r>
    </w:p>
    <w:bookmarkStart w:id="34" w:name="fenêtres-de-maintenance"/>
    <w:p>
      <w:pPr>
        <w:pStyle w:val="Heading3"/>
      </w:pPr>
      <w:r>
        <w:t xml:space="preserve">7.1 Fenêtres de Maintenance</w:t>
      </w:r>
    </w:p>
    <w:p>
      <w:pPr>
        <w:pStyle w:val="Compact"/>
        <w:numPr>
          <w:ilvl w:val="0"/>
          <w:numId w:val="1016"/>
        </w:numPr>
      </w:pPr>
      <w:r>
        <w:t xml:space="preserve">Jours: samedi-dimanche</w:t>
      </w:r>
    </w:p>
    <w:p>
      <w:pPr>
        <w:pStyle w:val="Compact"/>
        <w:numPr>
          <w:ilvl w:val="0"/>
          <w:numId w:val="1016"/>
        </w:numPr>
      </w:pPr>
      <w:r>
        <w:t xml:space="preserve">Heures: 23h-06h (heure française)</w:t>
      </w:r>
    </w:p>
    <w:p>
      <w:pPr>
        <w:pStyle w:val="Compact"/>
        <w:numPr>
          <w:ilvl w:val="0"/>
          <w:numId w:val="1016"/>
        </w:numPr>
      </w:pPr>
      <w:r>
        <w:t xml:space="preserve">Maximum: 4 heures par fenêtre</w:t>
      </w:r>
    </w:p>
    <w:p>
      <w:pPr>
        <w:pStyle w:val="Compact"/>
        <w:numPr>
          <w:ilvl w:val="0"/>
          <w:numId w:val="1016"/>
        </w:numPr>
      </w:pPr>
      <w:r>
        <w:t xml:space="preserve">Fréquence: maximum 2 fois par mois</w:t>
      </w:r>
    </w:p>
    <w:p>
      <w:pPr>
        <w:pStyle w:val="Compact"/>
        <w:numPr>
          <w:ilvl w:val="0"/>
          <w:numId w:val="1016"/>
        </w:numPr>
      </w:pPr>
      <w:r>
        <w:t xml:space="preserve">Notification: 14 jours minimum avant</w:t>
      </w:r>
    </w:p>
    <w:bookmarkEnd w:id="34"/>
    <w:bookmarkStart w:id="35" w:name="urgences-de-sécurité"/>
    <w:p>
      <w:pPr>
        <w:pStyle w:val="Heading3"/>
      </w:pPr>
      <w:r>
        <w:t xml:space="preserve">7.2 Urgences de Sécurité</w:t>
      </w:r>
    </w:p>
    <w:p>
      <w:pPr>
        <w:pStyle w:val="Compact"/>
        <w:numPr>
          <w:ilvl w:val="0"/>
          <w:numId w:val="1017"/>
        </w:numPr>
      </w:pPr>
      <w:r>
        <w:t xml:space="preserve">Maintenance d’urgence possible 24h/24</w:t>
      </w:r>
    </w:p>
    <w:p>
      <w:pPr>
        <w:pStyle w:val="Compact"/>
        <w:numPr>
          <w:ilvl w:val="0"/>
          <w:numId w:val="1017"/>
        </w:numPr>
      </w:pPr>
      <w:r>
        <w:t xml:space="preserve">Notification immédiate au client</w:t>
      </w:r>
    </w:p>
    <w:p>
      <w:pPr>
        <w:pStyle w:val="Compact"/>
        <w:numPr>
          <w:ilvl w:val="0"/>
          <w:numId w:val="1017"/>
        </w:numPr>
      </w:pPr>
      <w:r>
        <w:t xml:space="preserve">Restaurabilité du service: max 1h après patch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réunions-et-rapports"/>
    <w:p>
      <w:pPr>
        <w:pStyle w:val="Heading2"/>
      </w:pPr>
      <w:r>
        <w:t xml:space="preserve">8. RÉUNIONS ET RAPPORTS</w:t>
      </w:r>
    </w:p>
    <w:bookmarkStart w:id="37" w:name="réunions-de-suivi"/>
    <w:p>
      <w:pPr>
        <w:pStyle w:val="Heading3"/>
      </w:pPr>
      <w:r>
        <w:t xml:space="preserve">8.1 Réunions de Suivi</w:t>
      </w:r>
    </w:p>
    <w:p>
      <w:pPr>
        <w:pStyle w:val="Compact"/>
        <w:numPr>
          <w:ilvl w:val="0"/>
          <w:numId w:val="1018"/>
        </w:numPr>
      </w:pPr>
      <w:r>
        <w:t xml:space="preserve">Hebdomadaires: 30 minutes, vendredi 10h</w:t>
      </w:r>
    </w:p>
    <w:p>
      <w:pPr>
        <w:pStyle w:val="Compact"/>
        <w:numPr>
          <w:ilvl w:val="0"/>
          <w:numId w:val="1018"/>
        </w:numPr>
      </w:pPr>
      <w:r>
        <w:t xml:space="preserve">Mensuelles: 1h, revue des incidents et amélioration</w:t>
      </w:r>
    </w:p>
    <w:p>
      <w:pPr>
        <w:pStyle w:val="Compact"/>
        <w:numPr>
          <w:ilvl w:val="0"/>
          <w:numId w:val="1018"/>
        </w:numPr>
      </w:pPr>
      <w:r>
        <w:t xml:space="preserve">Trimestrielles: 2h, performance et roadmap</w:t>
      </w:r>
    </w:p>
    <w:bookmarkEnd w:id="37"/>
    <w:bookmarkStart w:id="38" w:name="rapports"/>
    <w:p>
      <w:pPr>
        <w:pStyle w:val="Heading3"/>
      </w:pPr>
      <w:r>
        <w:t xml:space="preserve">8.2 Rapports</w:t>
      </w:r>
    </w:p>
    <w:p>
      <w:pPr>
        <w:pStyle w:val="FirstParagraph"/>
      </w:pPr>
      <w:r>
        <w:rPr>
          <w:b/>
          <w:bCs/>
        </w:rPr>
        <w:t xml:space="preserve">Rapport Mensuel:</w:t>
      </w:r>
      <w:r>
        <w:t xml:space="preserve"> </w:t>
      </w:r>
      <w:r>
        <w:t xml:space="preserve">- Nombre d’incidents par priorité</w:t>
      </w:r>
      <w:r>
        <w:t xml:space="preserve"> </w:t>
      </w:r>
      <w:r>
        <w:t xml:space="preserve">- Temps moyen de réponse/résolution</w:t>
      </w:r>
      <w:r>
        <w:t xml:space="preserve"> </w:t>
      </w:r>
      <w:r>
        <w:t xml:space="preserve">- Conformité SLA</w:t>
      </w:r>
      <w:r>
        <w:t xml:space="preserve"> </w:t>
      </w:r>
      <w:r>
        <w:t xml:space="preserve">- Recommandations d’optimisation</w:t>
      </w:r>
    </w:p>
    <w:p>
      <w:pPr>
        <w:pStyle w:val="BodyText"/>
      </w:pPr>
      <w:r>
        <w:rPr>
          <w:b/>
          <w:bCs/>
        </w:rPr>
        <w:t xml:space="preserve">Rapport Annuel:</w:t>
      </w:r>
      <w:r>
        <w:t xml:space="preserve"> </w:t>
      </w:r>
      <w:r>
        <w:t xml:space="preserve">- Performance globale vs SLA</w:t>
      </w:r>
      <w:r>
        <w:t xml:space="preserve"> </w:t>
      </w:r>
      <w:r>
        <w:t xml:space="preserve">- Tendances et patterns</w:t>
      </w:r>
      <w:r>
        <w:t xml:space="preserve"> </w:t>
      </w:r>
      <w:r>
        <w:t xml:space="preserve">- Évolutions technologiques recommandées</w:t>
      </w:r>
      <w:r>
        <w:t xml:space="preserve"> </w:t>
      </w:r>
      <w:r>
        <w:t xml:space="preserve">- Plan d’action pour l’année suivante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escalade"/>
    <w:p>
      <w:pPr>
        <w:pStyle w:val="Heading2"/>
      </w:pPr>
      <w:r>
        <w:t xml:space="preserve">9. ESCALADE</w:t>
      </w:r>
    </w:p>
    <w:bookmarkStart w:id="40" w:name="niveaux-descalade"/>
    <w:p>
      <w:pPr>
        <w:pStyle w:val="Heading3"/>
      </w:pPr>
      <w:r>
        <w:t xml:space="preserve">9.1 Niveaux d’Escalade</w:t>
      </w:r>
    </w:p>
    <w:p>
      <w:pPr>
        <w:pStyle w:val="FirstParagraph"/>
      </w:pPr>
      <w:r>
        <w:rPr>
          <w:b/>
          <w:bCs/>
        </w:rPr>
        <w:t xml:space="preserve">Niveau 1:</w:t>
      </w:r>
      <w:r>
        <w:t xml:space="preserve"> </w:t>
      </w:r>
      <w:r>
        <w:t xml:space="preserve">Technicien support (résout 70% des incidents)</w:t>
      </w:r>
    </w:p>
    <w:p>
      <w:pPr>
        <w:pStyle w:val="BodyText"/>
      </w:pPr>
      <w:r>
        <w:rPr>
          <w:b/>
          <w:bCs/>
        </w:rPr>
        <w:t xml:space="preserve">Niveau 2:</w:t>
      </w:r>
      <w:r>
        <w:t xml:space="preserve"> </w:t>
      </w:r>
      <w:r>
        <w:t xml:space="preserve">Ingénieur spécialisé (issues complexes)</w:t>
      </w:r>
    </w:p>
    <w:p>
      <w:pPr>
        <w:pStyle w:val="BodyText"/>
      </w:pPr>
      <w:r>
        <w:rPr>
          <w:b/>
          <w:bCs/>
        </w:rPr>
        <w:t xml:space="preserve">Niveau 3:</w:t>
      </w:r>
      <w:r>
        <w:t xml:space="preserve"> </w:t>
      </w:r>
      <w:r>
        <w:t xml:space="preserve">Architecte système (problèmes architecturaux)</w:t>
      </w:r>
    </w:p>
    <w:p>
      <w:pPr>
        <w:pStyle w:val="BodyText"/>
      </w:pPr>
      <w:r>
        <w:rPr>
          <w:b/>
          <w:bCs/>
        </w:rPr>
        <w:t xml:space="preserve">Niveau 4:</w:t>
      </w:r>
      <w:r>
        <w:t xml:space="preserve"> </w:t>
      </w:r>
      <w:r>
        <w:t xml:space="preserve">Directeur technique (escalade client requise)</w:t>
      </w:r>
    </w:p>
    <w:bookmarkEnd w:id="40"/>
    <w:bookmarkStart w:id="41" w:name="délais-descalade"/>
    <w:p>
      <w:pPr>
        <w:pStyle w:val="Heading3"/>
      </w:pPr>
      <w:r>
        <w:t xml:space="preserve">9.2 Délais d’Escalade</w:t>
      </w:r>
    </w:p>
    <w:p>
      <w:pPr>
        <w:pStyle w:val="Compact"/>
        <w:numPr>
          <w:ilvl w:val="0"/>
          <w:numId w:val="1019"/>
        </w:numPr>
      </w:pPr>
      <w:r>
        <w:t xml:space="preserve">P1: escalade auto 1h</w:t>
      </w:r>
    </w:p>
    <w:p>
      <w:pPr>
        <w:pStyle w:val="Compact"/>
        <w:numPr>
          <w:ilvl w:val="0"/>
          <w:numId w:val="1019"/>
        </w:numPr>
      </w:pPr>
      <w:r>
        <w:t xml:space="preserve">P2: escalade auto 4h</w:t>
      </w:r>
    </w:p>
    <w:p>
      <w:pPr>
        <w:pStyle w:val="Compact"/>
        <w:numPr>
          <w:ilvl w:val="0"/>
          <w:numId w:val="1019"/>
        </w:numPr>
      </w:pPr>
      <w:r>
        <w:t xml:space="preserve">P3: escalade on-demand</w:t>
      </w:r>
    </w:p>
    <w:p>
      <w:pPr>
        <w:pStyle w:val="Compact"/>
        <w:numPr>
          <w:ilvl w:val="0"/>
          <w:numId w:val="1019"/>
        </w:numPr>
      </w:pPr>
      <w:r>
        <w:t xml:space="preserve">P4: escalade on-demand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évolution-de-laccord"/>
    <w:p>
      <w:pPr>
        <w:pStyle w:val="Heading2"/>
      </w:pPr>
      <w:r>
        <w:t xml:space="preserve">10. ÉVOLUTION DE L’ACCORD</w:t>
      </w:r>
    </w:p>
    <w:bookmarkStart w:id="43" w:name="révisions"/>
    <w:p>
      <w:pPr>
        <w:pStyle w:val="Heading3"/>
      </w:pPr>
      <w:r>
        <w:t xml:space="preserve">10.1 Révisions</w:t>
      </w:r>
    </w:p>
    <w:p>
      <w:pPr>
        <w:pStyle w:val="Compact"/>
        <w:numPr>
          <w:ilvl w:val="0"/>
          <w:numId w:val="1020"/>
        </w:numPr>
      </w:pPr>
      <w:r>
        <w:t xml:space="preserve">Trimestrielles: ajustement des prestations</w:t>
      </w:r>
    </w:p>
    <w:p>
      <w:pPr>
        <w:pStyle w:val="Compact"/>
        <w:numPr>
          <w:ilvl w:val="0"/>
          <w:numId w:val="1020"/>
        </w:numPr>
      </w:pPr>
      <w:r>
        <w:t xml:space="preserve">Annuelles: revue complète de l’accord</w:t>
      </w:r>
    </w:p>
    <w:p>
      <w:pPr>
        <w:pStyle w:val="Compact"/>
        <w:numPr>
          <w:ilvl w:val="0"/>
          <w:numId w:val="1020"/>
        </w:numPr>
      </w:pPr>
      <w:r>
        <w:t xml:space="preserve">Modification: consentement écrit des deux parties</w:t>
      </w:r>
    </w:p>
    <w:bookmarkEnd w:id="43"/>
    <w:bookmarkStart w:id="44" w:name="ajout-de-services"/>
    <w:p>
      <w:pPr>
        <w:pStyle w:val="Heading3"/>
      </w:pPr>
      <w:r>
        <w:t xml:space="preserve">10.2 Ajout de Services</w:t>
      </w:r>
    </w:p>
    <w:p>
      <w:pPr>
        <w:pStyle w:val="FirstParagraph"/>
      </w:pPr>
      <w:r>
        <w:t xml:space="preserve">Les deux parties peuvent ajouter:</w:t>
      </w:r>
      <w:r>
        <w:t xml:space="preserve"> </w:t>
      </w:r>
      <w:r>
        <w:t xml:space="preserve">- Nouvelles technologies supportées</w:t>
      </w:r>
      <w:r>
        <w:t xml:space="preserve"> </w:t>
      </w:r>
      <w:r>
        <w:t xml:space="preserve">- Nouveaux niveaux de service</w:t>
      </w:r>
      <w:r>
        <w:t xml:space="preserve"> </w:t>
      </w:r>
      <w:r>
        <w:t xml:space="preserve">- Services supplémentaires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résiliation-et-transition"/>
    <w:p>
      <w:pPr>
        <w:pStyle w:val="Heading2"/>
      </w:pPr>
      <w:r>
        <w:t xml:space="preserve">11. RÉSILIATION ET TRANSITION</w:t>
      </w:r>
    </w:p>
    <w:bookmarkStart w:id="46" w:name="résiliation"/>
    <w:p>
      <w:pPr>
        <w:pStyle w:val="Heading3"/>
      </w:pPr>
      <w:r>
        <w:t xml:space="preserve">11.1 Résiliation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Normal:</w:t>
      </w:r>
      <w:r>
        <w:t xml:space="preserve"> </w:t>
      </w:r>
      <w:r>
        <w:t xml:space="preserve">60 jours de préavis, fin de mois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Pour faute:</w:t>
      </w:r>
      <w:r>
        <w:t xml:space="preserve"> </w:t>
      </w:r>
      <w:r>
        <w:t xml:space="preserve">15 jours après mise en demeure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Sans raison:</w:t>
      </w:r>
      <w:r>
        <w:t xml:space="preserve"> </w:t>
      </w:r>
      <w:r>
        <w:t xml:space="preserve">90 jours de préavis</w:t>
      </w:r>
    </w:p>
    <w:bookmarkEnd w:id="46"/>
    <w:bookmarkStart w:id="47" w:name="indemnités-de-résiliation"/>
    <w:p>
      <w:pPr>
        <w:pStyle w:val="Heading3"/>
      </w:pPr>
      <w:r>
        <w:t xml:space="preserve">11.2 Indemnités de Résiliation</w:t>
      </w:r>
    </w:p>
    <w:p>
      <w:pPr>
        <w:pStyle w:val="Compact"/>
        <w:numPr>
          <w:ilvl w:val="0"/>
          <w:numId w:val="1022"/>
        </w:numPr>
      </w:pPr>
      <w:r>
        <w:t xml:space="preserve">Avant 12 mois: 25% du montant annuel restant</w:t>
      </w:r>
    </w:p>
    <w:p>
      <w:pPr>
        <w:pStyle w:val="Compact"/>
        <w:numPr>
          <w:ilvl w:val="0"/>
          <w:numId w:val="1022"/>
        </w:numPr>
      </w:pPr>
      <w:r>
        <w:t xml:space="preserve">Entre 12-24 mois: 15% du montant annuel restant</w:t>
      </w:r>
    </w:p>
    <w:p>
      <w:pPr>
        <w:pStyle w:val="Compact"/>
        <w:numPr>
          <w:ilvl w:val="0"/>
          <w:numId w:val="1022"/>
        </w:numPr>
      </w:pPr>
      <w:r>
        <w:t xml:space="preserve">Après 24 mois: pas d’indemnité</w:t>
      </w:r>
    </w:p>
    <w:bookmarkEnd w:id="47"/>
    <w:bookmarkStart w:id="48" w:name="transition"/>
    <w:p>
      <w:pPr>
        <w:pStyle w:val="Heading3"/>
      </w:pPr>
      <w:r>
        <w:t xml:space="preserve">11.3 Transition</w:t>
      </w:r>
    </w:p>
    <w:p>
      <w:pPr>
        <w:pStyle w:val="FirstParagraph"/>
      </w:pPr>
      <w:r>
        <w:t xml:space="preserve">Le Prestataire s’engage à:</w:t>
      </w:r>
      <w:r>
        <w:t xml:space="preserve"> </w:t>
      </w:r>
      <w:r>
        <w:t xml:space="preserve">- Documenter l’ensemble du système</w:t>
      </w:r>
      <w:r>
        <w:t xml:space="preserve"> </w:t>
      </w:r>
      <w:r>
        <w:t xml:space="preserve">- Formation du nouveau prestataire: 40 heures</w:t>
      </w:r>
      <w:r>
        <w:t xml:space="preserve"> </w:t>
      </w:r>
      <w:r>
        <w:t xml:space="preserve">- Accès aux données pendant 6 mois</w:t>
      </w:r>
      <w:r>
        <w:t xml:space="preserve"> </w:t>
      </w:r>
      <w:r>
        <w:t xml:space="preserve">- Support de transition: 30 jours gratuit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durée-et-renouvellement"/>
    <w:p>
      <w:pPr>
        <w:pStyle w:val="Heading2"/>
      </w:pPr>
      <w:r>
        <w:t xml:space="preserve">12. DURÉE ET RENOUVELLEMENT</w:t>
      </w:r>
    </w:p>
    <w:bookmarkStart w:id="50" w:name="durée-initiale"/>
    <w:p>
      <w:pPr>
        <w:pStyle w:val="Heading3"/>
      </w:pPr>
      <w:r>
        <w:t xml:space="preserve">12.1 Durée Initiale</w:t>
      </w:r>
    </w:p>
    <w:p>
      <w:pPr>
        <w:pStyle w:val="FirstParagraph"/>
      </w:pPr>
      <w:r>
        <w:rPr>
          <w:b/>
          <w:bCs/>
        </w:rPr>
        <w:t xml:space="preserve">3 ans à partir du 1er janvier 2024</w:t>
      </w:r>
      <w:r>
        <w:t xml:space="preserve"> </w:t>
      </w:r>
      <w:r>
        <w:t xml:space="preserve">- Fin: 31 décembre 2026</w:t>
      </w:r>
    </w:p>
    <w:bookmarkEnd w:id="50"/>
    <w:bookmarkStart w:id="51" w:name="renouvellement"/>
    <w:p>
      <w:pPr>
        <w:pStyle w:val="Heading3"/>
      </w:pPr>
      <w:r>
        <w:t xml:space="preserve">12.2 Renouvellement</w:t>
      </w:r>
    </w:p>
    <w:p>
      <w:pPr>
        <w:pStyle w:val="Compact"/>
        <w:numPr>
          <w:ilvl w:val="0"/>
          <w:numId w:val="1023"/>
        </w:numPr>
      </w:pPr>
      <w:r>
        <w:t xml:space="preserve">Automatique par tacite reconduction</w:t>
      </w:r>
    </w:p>
    <w:p>
      <w:pPr>
        <w:pStyle w:val="Compact"/>
        <w:numPr>
          <w:ilvl w:val="0"/>
          <w:numId w:val="1023"/>
        </w:numPr>
      </w:pPr>
      <w:r>
        <w:t xml:space="preserve">Périodes d’un an renouvelables</w:t>
      </w:r>
    </w:p>
    <w:p>
      <w:pPr>
        <w:pStyle w:val="Compact"/>
        <w:numPr>
          <w:ilvl w:val="0"/>
          <w:numId w:val="1023"/>
        </w:numPr>
      </w:pPr>
      <w:r>
        <w:t xml:space="preserve">Résiliation: 90 jours avant expiration</w:t>
      </w:r>
    </w:p>
    <w:bookmarkEnd w:id="51"/>
    <w:bookmarkStart w:id="52" w:name="révision-prix-renouvellement"/>
    <w:p>
      <w:pPr>
        <w:pStyle w:val="Heading3"/>
      </w:pPr>
      <w:r>
        <w:t xml:space="preserve">12.3 Révision Prix Renouvellement</w:t>
      </w:r>
    </w:p>
    <w:p>
      <w:pPr>
        <w:pStyle w:val="Compact"/>
        <w:numPr>
          <w:ilvl w:val="0"/>
          <w:numId w:val="1024"/>
        </w:numPr>
      </w:pPr>
      <w:r>
        <w:t xml:space="preserve">Maximum +3% par an</w:t>
      </w:r>
    </w:p>
    <w:p>
      <w:pPr>
        <w:pStyle w:val="Compact"/>
        <w:numPr>
          <w:ilvl w:val="0"/>
          <w:numId w:val="1024"/>
        </w:numPr>
      </w:pPr>
      <w:r>
        <w:t xml:space="preserve">Index: SMIC + indice INSEE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conformités-et-certifications"/>
    <w:p>
      <w:pPr>
        <w:pStyle w:val="Heading2"/>
      </w:pPr>
      <w:r>
        <w:t xml:space="preserve">13. CONFORMITÉS ET CERTIFICATIONS</w:t>
      </w:r>
    </w:p>
    <w:p>
      <w:pPr>
        <w:pStyle w:val="FirstParagraph"/>
      </w:pPr>
      <w:r>
        <w:t xml:space="preserve">Le Prestataire certifie:</w:t>
      </w:r>
    </w:p>
    <w:p>
      <w:pPr>
        <w:pStyle w:val="Compact"/>
        <w:numPr>
          <w:ilvl w:val="0"/>
          <w:numId w:val="1025"/>
        </w:numPr>
      </w:pPr>
      <w:r>
        <w:t xml:space="preserve">ISO 9001 (Management de la qualité)</w:t>
      </w:r>
    </w:p>
    <w:p>
      <w:pPr>
        <w:pStyle w:val="Compact"/>
        <w:numPr>
          <w:ilvl w:val="0"/>
          <w:numId w:val="1026"/>
        </w:numPr>
      </w:pPr>
      <w:r>
        <w:t xml:space="preserve">ISO 27001 (Sécurité informatique)</w:t>
      </w:r>
    </w:p>
    <w:p>
      <w:pPr>
        <w:pStyle w:val="Compact"/>
        <w:numPr>
          <w:ilvl w:val="0"/>
          <w:numId w:val="1027"/>
        </w:numPr>
      </w:pPr>
      <w:r>
        <w:t xml:space="preserve">Conformité RGPD</w:t>
      </w:r>
    </w:p>
    <w:p>
      <w:pPr>
        <w:pStyle w:val="Compact"/>
        <w:numPr>
          <w:ilvl w:val="0"/>
          <w:numId w:val="1028"/>
        </w:numPr>
      </w:pPr>
      <w:r>
        <w:t xml:space="preserve">Assurance Responsabilité Civile 2M€</w:t>
      </w:r>
    </w:p>
    <w:p>
      <w:pPr>
        <w:pStyle w:val="Compact"/>
        <w:numPr>
          <w:ilvl w:val="0"/>
          <w:numId w:val="1029"/>
        </w:numPr>
      </w:pPr>
      <w:r>
        <w:t xml:space="preserve">Certifications techniques du personnel</w:t>
      </w:r>
    </w:p>
    <w:p>
      <w:r>
        <w:pict>
          <v:rect style="width:0;height:1.5pt" o:hralign="center" o:hrstd="t" o:hr="t"/>
        </w:pict>
      </w:r>
    </w:p>
    <w:bookmarkEnd w:id="54"/>
    <w:bookmarkStart w:id="55" w:name="lois-applicables"/>
    <w:p>
      <w:pPr>
        <w:pStyle w:val="Heading2"/>
      </w:pPr>
      <w:r>
        <w:t xml:space="preserve">14. LOIS APPLICABLES</w:t>
      </w:r>
    </w:p>
    <w:p>
      <w:pPr>
        <w:pStyle w:val="Compact"/>
        <w:numPr>
          <w:ilvl w:val="0"/>
          <w:numId w:val="1030"/>
        </w:numPr>
      </w:pPr>
      <w:r>
        <w:t xml:space="preserve">Droit français</w:t>
      </w:r>
    </w:p>
    <w:p>
      <w:pPr>
        <w:pStyle w:val="Compact"/>
        <w:numPr>
          <w:ilvl w:val="0"/>
          <w:numId w:val="1030"/>
        </w:numPr>
      </w:pPr>
      <w:r>
        <w:t xml:space="preserve">Code civil et commercial français</w:t>
      </w:r>
    </w:p>
    <w:p>
      <w:pPr>
        <w:pStyle w:val="Compact"/>
        <w:numPr>
          <w:ilvl w:val="0"/>
          <w:numId w:val="1030"/>
        </w:numPr>
      </w:pPr>
      <w:r>
        <w:t xml:space="preserve">RGPD et lois françaises de protection des données</w:t>
      </w:r>
    </w:p>
    <w:p>
      <w:pPr>
        <w:pStyle w:val="Compact"/>
        <w:numPr>
          <w:ilvl w:val="0"/>
          <w:numId w:val="1030"/>
        </w:numPr>
      </w:pPr>
      <w:r>
        <w:t xml:space="preserve">Juridiction: Tribunal de Commerce de Paris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Signature Client:</w:t>
      </w:r>
      <w:r>
        <w:t xml:space="preserve"> </w:t>
      </w:r>
      <w:r>
        <w:t xml:space="preserve">EDF SA</w:t>
      </w:r>
      <w:r>
        <w:t xml:space="preserve"> </w:t>
      </w:r>
      <w:r>
        <w:t xml:space="preserve">Date: ________________</w:t>
      </w:r>
      <w:r>
        <w:t xml:space="preserve"> </w:t>
      </w:r>
      <w:r>
        <w:t xml:space="preserve">Signature: ________________</w:t>
      </w:r>
    </w:p>
    <w:p>
      <w:pPr>
        <w:pStyle w:val="BodyText"/>
      </w:pPr>
      <w:r>
        <w:rPr>
          <w:b/>
          <w:bCs/>
        </w:rPr>
        <w:t xml:space="preserve">Signature Prestataire:</w:t>
      </w:r>
      <w:r>
        <w:t xml:space="preserve"> </w:t>
      </w:r>
      <w:r>
        <w:t xml:space="preserve">TechSupport Europe SARL</w:t>
      </w:r>
      <w:r>
        <w:t xml:space="preserve"> </w:t>
      </w:r>
      <w:r>
        <w:t xml:space="preserve">Date: ________________</w:t>
      </w:r>
      <w:r>
        <w:t xml:space="preserve"> </w:t>
      </w:r>
      <w:r>
        <w:t xml:space="preserve">Signature: ________________</w:t>
      </w:r>
    </w:p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2026-06-07T03:21:09Z</dcterms:created>
  <dcterms:modified xsi:type="dcterms:W3CDTF">2026-06-07T03:21:09Z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