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DB" w:rsidRDefault="001F235B">
      <w:r>
        <w:t>Prelim</w:t>
      </w:r>
    </w:p>
    <w:p w:rsidR="00CB4677" w:rsidRDefault="00CB4677"/>
    <w:p w:rsidR="00CB4677" w:rsidRDefault="00CB4677" w:rsidP="00CB4677">
      <w:pPr>
        <w:rPr>
          <w:rFonts w:cstheme="minorHAnsi"/>
          <w:b/>
        </w:rPr>
      </w:pPr>
      <w:r>
        <w:rPr>
          <w:rFonts w:cstheme="minorHAnsi"/>
          <w:b/>
        </w:rPr>
        <w:t>2. Introduction to PGNAA</w:t>
      </w:r>
    </w:p>
    <w:p w:rsidR="00CB4677" w:rsidRDefault="00CB4677" w:rsidP="00CB4677">
      <w:pPr>
        <w:rPr>
          <w:rFonts w:cstheme="minorHAnsi"/>
        </w:rPr>
      </w:pPr>
      <w:r>
        <w:rPr>
          <w:rFonts w:cstheme="minorHAnsi"/>
        </w:rPr>
        <w:t xml:space="preserve">Prompt gamma-ray neutron activation analysis is a nondestructive, near real time technique used for bulk material identifications.  PGNAA relies on neutron inelastic scatter and capture reactions to produce characteristic </w:t>
      </w:r>
      <w:proofErr w:type="gramStart"/>
      <w:r>
        <w:rPr>
          <w:rFonts w:cstheme="minorHAnsi"/>
        </w:rPr>
        <w:t>gamma-rays</w:t>
      </w:r>
      <w:proofErr w:type="gramEnd"/>
      <w:r>
        <w:rPr>
          <w:rFonts w:cstheme="minorHAnsi"/>
        </w:rPr>
        <w:t xml:space="preserve"> used to identify minute amounts of elements in a bulk sample.  </w:t>
      </w:r>
      <w:r w:rsidRPr="008A4AEE">
        <w:rPr>
          <w:rFonts w:cstheme="minorHAnsi"/>
        </w:rPr>
        <w:t xml:space="preserve">Due to low cross sections for these reactions, background sources from natural radiation, activation of the </w:t>
      </w:r>
      <w:proofErr w:type="spellStart"/>
      <w:r w:rsidRPr="008A4AEE">
        <w:rPr>
          <w:rFonts w:cstheme="minorHAnsi"/>
        </w:rPr>
        <w:t>NaI</w:t>
      </w:r>
      <w:proofErr w:type="spellEnd"/>
      <w:r w:rsidRPr="008A4AEE">
        <w:rPr>
          <w:rFonts w:cstheme="minorHAnsi"/>
        </w:rPr>
        <w:t xml:space="preserve"> detector, and </w:t>
      </w:r>
      <w:proofErr w:type="gramStart"/>
      <w:r w:rsidRPr="008A4AEE">
        <w:rPr>
          <w:rFonts w:cstheme="minorHAnsi"/>
        </w:rPr>
        <w:t>gamma-rays</w:t>
      </w:r>
      <w:proofErr w:type="gramEnd"/>
      <w:r w:rsidRPr="008A4AEE">
        <w:rPr>
          <w:rFonts w:cstheme="minorHAnsi"/>
        </w:rPr>
        <w:t xml:space="preserve"> from the decay of the neutron source a low signal to noise ratio (SNR) is common.  </w:t>
      </w:r>
      <w:bookmarkStart w:id="0" w:name="_GoBack"/>
      <w:bookmarkEnd w:id="0"/>
    </w:p>
    <w:p w:rsidR="00CB4677" w:rsidRDefault="00CB4677" w:rsidP="00CB4677">
      <w:pPr>
        <w:rPr>
          <w:rFonts w:cstheme="minorHAnsi"/>
          <w:b/>
        </w:rPr>
      </w:pPr>
      <w:r>
        <w:rPr>
          <w:rFonts w:cstheme="minorHAnsi"/>
          <w:b/>
        </w:rPr>
        <w:t>2.1. Neutron Inelastic Scatter</w:t>
      </w:r>
    </w:p>
    <w:p w:rsidR="00CB4677" w:rsidRPr="00812BDC" w:rsidRDefault="00CB4677" w:rsidP="00CB4677">
      <w:pPr>
        <w:rPr>
          <w:rFonts w:cstheme="minorHAnsi"/>
        </w:rPr>
      </w:pPr>
      <w:r>
        <w:rPr>
          <w:rFonts w:cstheme="minorHAnsi"/>
        </w:rPr>
        <w:t xml:space="preserve">Neutron inelastic scatter involves an incoming neutron colliding with a target nucleus and exiting with less energy and at a different angle than it entered.  The energy deposited on the target nucleus causes it to reach an excited state and rapidly releases a </w:t>
      </w:r>
      <w:proofErr w:type="gramStart"/>
      <w:r>
        <w:rPr>
          <w:rFonts w:cstheme="minorHAnsi"/>
        </w:rPr>
        <w:t>gamma-ray</w:t>
      </w:r>
      <w:proofErr w:type="gramEnd"/>
      <w:r>
        <w:rPr>
          <w:rFonts w:cstheme="minorHAnsi"/>
        </w:rPr>
        <w:t xml:space="preserve"> to return to its normal energy state represented in equation 1 as follows:</w:t>
      </w:r>
    </w:p>
    <w:p w:rsidR="00CB4677" w:rsidRPr="00812BDC" w:rsidRDefault="00CB4677" w:rsidP="00CB467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8544"/>
        <w:gridCol w:w="461"/>
      </w:tblGrid>
      <w:tr w:rsidR="00CB4677" w:rsidTr="00360AE6">
        <w:tc>
          <w:tcPr>
            <w:tcW w:w="355" w:type="dxa"/>
          </w:tcPr>
          <w:p w:rsidR="00CB4677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</w:p>
        </w:tc>
        <w:tc>
          <w:tcPr>
            <w:tcW w:w="8550" w:type="dxa"/>
          </w:tcPr>
          <w:p w:rsidR="00CB4677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  </m:t>
                </m:r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sPre>
                <m:r>
                  <w:rPr>
                    <w:rFonts w:ascii="Cambria Math" w:hAnsi="Cambria Math" w:cstheme="minorHAnsi"/>
                  </w:rPr>
                  <m:t>+</m:t>
                </m:r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sPre>
                <m:r>
                  <w:rPr>
                    <w:rFonts w:ascii="Cambria Math" w:hAnsi="Cambria Math" w:cstheme="minorHAnsi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45" w:type="dxa"/>
          </w:tcPr>
          <w:p w:rsidR="00CB4677" w:rsidRPr="004343A7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SEQ  Eq \* MERGEFORMAT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1</w:t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4343A7">
              <w:rPr>
                <w:rFonts w:asciiTheme="minorHAnsi" w:hAnsiTheme="minorHAnsi" w:cstheme="minorHAnsi"/>
              </w:rPr>
              <w:t>)</w:t>
            </w:r>
          </w:p>
        </w:tc>
      </w:tr>
    </w:tbl>
    <w:p w:rsidR="00CB4677" w:rsidRDefault="00CB4677" w:rsidP="00CB4677">
      <w:pPr>
        <w:rPr>
          <w:rFonts w:cstheme="minorHAnsi"/>
        </w:rPr>
      </w:pPr>
    </w:p>
    <w:p w:rsidR="00CB4677" w:rsidRDefault="00CB4677" w:rsidP="00CB4677">
      <w:pPr>
        <w:rPr>
          <w:rFonts w:cstheme="minorHAnsi"/>
          <w:b/>
        </w:rPr>
      </w:pPr>
      <w:r>
        <w:rPr>
          <w:rFonts w:cstheme="minorHAnsi"/>
          <w:b/>
        </w:rPr>
        <w:t>2.2 Neutron Capture</w:t>
      </w:r>
    </w:p>
    <w:p w:rsidR="00CB4677" w:rsidRDefault="00CB4677" w:rsidP="00CB4677">
      <w:pPr>
        <w:rPr>
          <w:rFonts w:cstheme="minorHAnsi"/>
        </w:rPr>
      </w:pPr>
      <w:proofErr w:type="gramStart"/>
      <w:r>
        <w:rPr>
          <w:rFonts w:cstheme="minorHAnsi"/>
        </w:rPr>
        <w:t xml:space="preserve">Neutron capture, also denoted as (n, γ), can occur over a wide range of energies and has the highest probability at thermal energies for the elements of </w:t>
      </w:r>
      <w:proofErr w:type="spellStart"/>
      <w:r>
        <w:rPr>
          <w:rFonts w:cstheme="minorHAnsi"/>
        </w:rPr>
        <w:t>interst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 The (n, γ) reaction begins when a neutron interacts with a target nucleus and is absorbed.  The newly formed nucleus </w:t>
      </w:r>
      <w:proofErr w:type="gramStart"/>
      <w:r>
        <w:rPr>
          <w:rFonts w:cstheme="minorHAnsi"/>
        </w:rPr>
        <w:t>is placed</w:t>
      </w:r>
      <w:proofErr w:type="gramEnd"/>
      <w:r>
        <w:rPr>
          <w:rFonts w:cstheme="minorHAnsi"/>
        </w:rPr>
        <w:t xml:space="preserve"> in an excited state, and in order to form a new ground state, at least one γ photon is emitted as shown in eq. 2 below.  </w:t>
      </w:r>
    </w:p>
    <w:p w:rsidR="00CB4677" w:rsidRDefault="00CB4677" w:rsidP="00CB4677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8544"/>
        <w:gridCol w:w="461"/>
      </w:tblGrid>
      <w:tr w:rsidR="00CB4677" w:rsidTr="00360AE6">
        <w:tc>
          <w:tcPr>
            <w:tcW w:w="355" w:type="dxa"/>
          </w:tcPr>
          <w:p w:rsidR="00CB4677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</w:p>
        </w:tc>
        <w:tc>
          <w:tcPr>
            <w:tcW w:w="8550" w:type="dxa"/>
          </w:tcPr>
          <w:p w:rsidR="00CB4677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  </m:t>
                </m:r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sPre>
                <m:r>
                  <w:rPr>
                    <w:rFonts w:ascii="Cambria Math" w:hAnsi="Cambria Math" w:cstheme="minorHAnsi"/>
                  </w:rPr>
                  <m:t>+</m:t>
                </m:r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 w:cstheme="minorHAnsi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sPre>
                <m:r>
                  <w:rPr>
                    <w:rFonts w:ascii="Cambria Math" w:hAnsi="Cambria Math" w:cstheme="minorHAnsi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A+1</m:t>
                        </m:r>
                      </m:sup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theme="minorHAnsi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45" w:type="dxa"/>
          </w:tcPr>
          <w:p w:rsidR="00CB4677" w:rsidRPr="009F5215" w:rsidRDefault="00CB4677" w:rsidP="00360A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SEQ Eq \* MERGEFORMAT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2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:rsidR="00CB4677" w:rsidRDefault="00CB4677" w:rsidP="00CB4677">
      <w:pPr>
        <w:rPr>
          <w:rFonts w:cstheme="minorHAnsi"/>
        </w:rPr>
      </w:pPr>
    </w:p>
    <w:p w:rsidR="00CB4677" w:rsidRPr="00812BDC" w:rsidRDefault="00CB4677" w:rsidP="00CB4677">
      <w:pPr>
        <w:rPr>
          <w:rFonts w:cstheme="minorHAnsi"/>
        </w:rPr>
      </w:pPr>
      <w:r>
        <w:rPr>
          <w:rFonts w:cstheme="minorHAnsi"/>
        </w:rPr>
        <w:t xml:space="preserve">Each nucleus (apart from Helium-4) gives off a distinct signature of intensities and energies, allowing for the identification of the sample from the γ photon emissions.  </w:t>
      </w:r>
    </w:p>
    <w:p w:rsidR="00CB4677" w:rsidRDefault="00CB4677"/>
    <w:sectPr w:rsidR="00CB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5B"/>
    <w:rsid w:val="001F235B"/>
    <w:rsid w:val="006E7DBA"/>
    <w:rsid w:val="00B563DB"/>
    <w:rsid w:val="00C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E03"/>
  <w15:chartTrackingRefBased/>
  <w15:docId w15:val="{288FAF66-62E3-4A3B-95CE-25C08BCC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7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 Nova</dc:creator>
  <cp:keywords/>
  <dc:description/>
  <cp:lastModifiedBy>Vincent Di Nova</cp:lastModifiedBy>
  <cp:revision>2</cp:revision>
  <dcterms:created xsi:type="dcterms:W3CDTF">2018-08-08T17:38:00Z</dcterms:created>
  <dcterms:modified xsi:type="dcterms:W3CDTF">2018-08-21T18:10:00Z</dcterms:modified>
</cp:coreProperties>
</file>