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Requirements</w:t>
      </w:r>
    </w:p>
    <w:p>
      <w:pPr>
        <w:jc w:val="center"/>
      </w:pPr>
      <w:r>
        <w:rPr>
          <w:i/>
          <w:sz w:val="22"/>
        </w:rPr>
        <w:t>01_business_requirements.docx</w:t>
      </w:r>
    </w:p>
    <w:p>
      <w:pPr>
        <w:jc w:val="center"/>
      </w:pPr>
      <w:r>
        <w:rPr>
          <w:sz w:val="18"/>
        </w:rPr>
        <w:t>RetailFlow — Enterprise Data Engineering Platform | Phase 1</w:t>
      </w:r>
    </w:p>
    <w:p/>
    <w:p>
      <w:pPr>
        <w:pStyle w:val="Heading1"/>
      </w:pPr>
      <w:r>
        <w:t>1. Purpose</w:t>
      </w:r>
    </w:p>
    <w:p>
      <w:r>
        <w:t>RetailFlow Ltd is a fictional UK omnichannel retailer operating physical stores and an e-commerce platform. Its operational data is fragmented across transactional databases, APIs, supplier files, inventory systems, payment feeds and returns files. The purpose of this project is to design and implement a scalable, automated and governed data platform that consolidates these sources into trusted analytics-ready datasets.</w:t>
      </w:r>
    </w:p>
    <w:p>
      <w:pPr>
        <w:pStyle w:val="Heading1"/>
      </w:pPr>
      <w:r>
        <w:t>2. Business Problem</w:t>
      </w:r>
    </w:p>
    <w:p>
      <w:r>
        <w:t>RetailFlow's current data landscape uses different formats, update frequencies and quality standards. Manual and disconnected processing makes reporting slower, creates inconsistencies and makes historical analysis difficult. The organisation therefore requires an automated platform that can ingest, validate, transform, store and serve data reliably while providing monitoring, traceability, security and recovery.</w:t>
      </w:r>
    </w:p>
    <w:p>
      <w:pPr>
        <w:pStyle w:val="Heading1"/>
      </w:pPr>
      <w:r>
        <w:t>3. Project Objective</w:t>
      </w:r>
    </w:p>
    <w:p>
      <w:r>
        <w:t>The Data Engineer will create an end-to-end platform that supports batch and incremental ingestion, Bronze/Silver/Gold processing, dimensional modelling, data-quality controls, orchestration, historical tracking, monitoring and trusted downstream access for business intelligence, analytics and applications.</w:t>
      </w:r>
    </w:p>
    <w:p>
      <w:pPr>
        <w:pStyle w:val="Heading1"/>
      </w:pPr>
      <w:r>
        <w:t>4. Business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ID</w:t>
            </w:r>
          </w:p>
        </w:tc>
        <w:tc>
          <w:tcPr>
            <w:tcW w:type="dxa" w:w="3360"/>
            <w:shd w:fill="D9EAF7"/>
            <w:vAlign w:val="center"/>
          </w:tcPr>
          <w:p>
            <w:r>
              <w:rPr>
                <w:b/>
              </w:rPr>
              <w:t>Requirement</w:t>
            </w:r>
          </w:p>
        </w:tc>
        <w:tc>
          <w:tcPr>
            <w:tcW w:type="dxa" w:w="3360"/>
            <w:shd w:fill="D9EAF7"/>
            <w:vAlign w:val="center"/>
          </w:tcPr>
          <w:p>
            <w:r>
              <w:rPr>
                <w:b/>
              </w:rPr>
              <w:t>Description</w:t>
            </w:r>
          </w:p>
        </w:tc>
      </w:tr>
      <w:tr>
        <w:tc>
          <w:tcPr>
            <w:tcW w:type="dxa" w:w="3360"/>
            <w:vAlign w:val="center"/>
          </w:tcPr>
          <w:p>
            <w:r>
              <w:t>BR-01</w:t>
            </w:r>
          </w:p>
        </w:tc>
        <w:tc>
          <w:tcPr>
            <w:tcW w:type="dxa" w:w="3360"/>
            <w:vAlign w:val="center"/>
          </w:tcPr>
          <w:p>
            <w:r>
              <w:t>Unified Data</w:t>
            </w:r>
          </w:p>
        </w:tc>
        <w:tc>
          <w:tcPr>
            <w:tcW w:type="dxa" w:w="3360"/>
            <w:vAlign w:val="center"/>
          </w:tcPr>
          <w:p>
            <w:r>
              <w:t>Consolidate operational data from multiple source systems into a central analytical platform.</w:t>
            </w:r>
          </w:p>
        </w:tc>
      </w:tr>
      <w:tr>
        <w:tc>
          <w:tcPr>
            <w:tcW w:type="dxa" w:w="3360"/>
            <w:vAlign w:val="center"/>
          </w:tcPr>
          <w:p>
            <w:r>
              <w:t>BR-02</w:t>
            </w:r>
          </w:p>
        </w:tc>
        <w:tc>
          <w:tcPr>
            <w:tcW w:type="dxa" w:w="3360"/>
            <w:vAlign w:val="center"/>
          </w:tcPr>
          <w:p>
            <w:r>
              <w:t>Automated Ingestion</w:t>
            </w:r>
          </w:p>
        </w:tc>
        <w:tc>
          <w:tcPr>
            <w:tcW w:type="dxa" w:w="3360"/>
            <w:vAlign w:val="center"/>
          </w:tcPr>
          <w:p>
            <w:r>
              <w:t>Ingest source data automatically without dependence on manual uploads.</w:t>
            </w:r>
          </w:p>
        </w:tc>
      </w:tr>
      <w:tr>
        <w:tc>
          <w:tcPr>
            <w:tcW w:type="dxa" w:w="3360"/>
            <w:vAlign w:val="center"/>
          </w:tcPr>
          <w:p>
            <w:r>
              <w:t>BR-03</w:t>
            </w:r>
          </w:p>
        </w:tc>
        <w:tc>
          <w:tcPr>
            <w:tcW w:type="dxa" w:w="3360"/>
            <w:vAlign w:val="center"/>
          </w:tcPr>
          <w:p>
            <w:r>
              <w:t>Trusted Data</w:t>
            </w:r>
          </w:p>
        </w:tc>
        <w:tc>
          <w:tcPr>
            <w:tcW w:type="dxa" w:w="3360"/>
            <w:vAlign w:val="center"/>
          </w:tcPr>
          <w:p>
            <w:r>
              <w:t>Provide consistent and governed definitions for revenue, orders, customers, products, returns and inventory.</w:t>
            </w:r>
          </w:p>
        </w:tc>
      </w:tr>
      <w:tr>
        <w:tc>
          <w:tcPr>
            <w:tcW w:type="dxa" w:w="3360"/>
            <w:vAlign w:val="center"/>
          </w:tcPr>
          <w:p>
            <w:r>
              <w:t>BR-04</w:t>
            </w:r>
          </w:p>
        </w:tc>
        <w:tc>
          <w:tcPr>
            <w:tcW w:type="dxa" w:w="3360"/>
            <w:vAlign w:val="center"/>
          </w:tcPr>
          <w:p>
            <w:r>
              <w:t>Historical Analysis</w:t>
            </w:r>
          </w:p>
        </w:tc>
        <w:tc>
          <w:tcPr>
            <w:tcW w:type="dxa" w:w="3360"/>
            <w:vAlign w:val="center"/>
          </w:tcPr>
          <w:p>
            <w:r>
              <w:t>Preserve relevant historical changes so users can analyse business state at earlier points in time.</w:t>
            </w:r>
          </w:p>
        </w:tc>
      </w:tr>
      <w:tr>
        <w:tc>
          <w:tcPr>
            <w:tcW w:type="dxa" w:w="3360"/>
            <w:vAlign w:val="center"/>
          </w:tcPr>
          <w:p>
            <w:r>
              <w:t>BR-05</w:t>
            </w:r>
          </w:p>
        </w:tc>
        <w:tc>
          <w:tcPr>
            <w:tcW w:type="dxa" w:w="3360"/>
            <w:vAlign w:val="center"/>
          </w:tcPr>
          <w:p>
            <w:r>
              <w:t>Timely Reporting</w:t>
            </w:r>
          </w:p>
        </w:tc>
        <w:tc>
          <w:tcPr>
            <w:tcW w:type="dxa" w:w="3360"/>
            <w:vAlign w:val="center"/>
          </w:tcPr>
          <w:p>
            <w:r>
              <w:t>Make the previous day's required operational data available for analytics before 07:00.</w:t>
            </w:r>
          </w:p>
        </w:tc>
      </w:tr>
      <w:tr>
        <w:tc>
          <w:tcPr>
            <w:tcW w:type="dxa" w:w="3360"/>
            <w:vAlign w:val="center"/>
          </w:tcPr>
          <w:p>
            <w:r>
              <w:t>BR-06</w:t>
            </w:r>
          </w:p>
        </w:tc>
        <w:tc>
          <w:tcPr>
            <w:tcW w:type="dxa" w:w="3360"/>
            <w:vAlign w:val="center"/>
          </w:tcPr>
          <w:p>
            <w:r>
              <w:t>Data Quality</w:t>
            </w:r>
          </w:p>
        </w:tc>
        <w:tc>
          <w:tcPr>
            <w:tcW w:type="dxa" w:w="3360"/>
            <w:vAlign w:val="center"/>
          </w:tcPr>
          <w:p>
            <w:r>
              <w:t>Detect invalid, incomplete, duplicated or inconsistent records before they enter trusted datasets.</w:t>
            </w:r>
          </w:p>
        </w:tc>
      </w:tr>
      <w:tr>
        <w:tc>
          <w:tcPr>
            <w:tcW w:type="dxa" w:w="3360"/>
            <w:vAlign w:val="center"/>
          </w:tcPr>
          <w:p>
            <w:r>
              <w:t>BR-07</w:t>
            </w:r>
          </w:p>
        </w:tc>
        <w:tc>
          <w:tcPr>
            <w:tcW w:type="dxa" w:w="3360"/>
            <w:vAlign w:val="center"/>
          </w:tcPr>
          <w:p>
            <w:r>
              <w:t>Recoverability</w:t>
            </w:r>
          </w:p>
        </w:tc>
        <w:tc>
          <w:tcPr>
            <w:tcW w:type="dxa" w:w="3360"/>
            <w:vAlign w:val="center"/>
          </w:tcPr>
          <w:p>
            <w:r>
              <w:t>Allow failed pipelines to be rerun safely without creating duplicate trusted records.</w:t>
            </w:r>
          </w:p>
        </w:tc>
      </w:tr>
      <w:tr>
        <w:tc>
          <w:tcPr>
            <w:tcW w:type="dxa" w:w="3360"/>
            <w:vAlign w:val="center"/>
          </w:tcPr>
          <w:p>
            <w:r>
              <w:t>BR-08</w:t>
            </w:r>
          </w:p>
        </w:tc>
        <w:tc>
          <w:tcPr>
            <w:tcW w:type="dxa" w:w="3360"/>
            <w:vAlign w:val="center"/>
          </w:tcPr>
          <w:p>
            <w:r>
              <w:t>Security</w:t>
            </w:r>
          </w:p>
        </w:tc>
        <w:tc>
          <w:tcPr>
            <w:tcW w:type="dxa" w:w="3360"/>
            <w:vAlign w:val="center"/>
          </w:tcPr>
          <w:p>
            <w:r>
              <w:t>Protect sensitive customer and operational information through appropriate access and handling controls.</w:t>
            </w:r>
          </w:p>
        </w:tc>
      </w:tr>
      <w:tr>
        <w:tc>
          <w:tcPr>
            <w:tcW w:type="dxa" w:w="3360"/>
            <w:vAlign w:val="center"/>
          </w:tcPr>
          <w:p>
            <w:r>
              <w:t>BR-09</w:t>
            </w:r>
          </w:p>
        </w:tc>
        <w:tc>
          <w:tcPr>
            <w:tcW w:type="dxa" w:w="3360"/>
            <w:vAlign w:val="center"/>
          </w:tcPr>
          <w:p>
            <w:r>
              <w:t>Traceability</w:t>
            </w:r>
          </w:p>
        </w:tc>
        <w:tc>
          <w:tcPr>
            <w:tcW w:type="dxa" w:w="3360"/>
            <w:vAlign w:val="center"/>
          </w:tcPr>
          <w:p>
            <w:r>
              <w:t>Record where data originated, when it was loaded, which run processed it and whether validation succeeded.</w:t>
            </w:r>
          </w:p>
        </w:tc>
      </w:tr>
      <w:tr>
        <w:tc>
          <w:tcPr>
            <w:tcW w:type="dxa" w:w="3360"/>
            <w:vAlign w:val="center"/>
          </w:tcPr>
          <w:p>
            <w:r>
              <w:t>BR-10</w:t>
            </w:r>
          </w:p>
        </w:tc>
        <w:tc>
          <w:tcPr>
            <w:tcW w:type="dxa" w:w="3360"/>
            <w:vAlign w:val="center"/>
          </w:tcPr>
          <w:p>
            <w:r>
              <w:t>Analytics Access</w:t>
            </w:r>
          </w:p>
        </w:tc>
        <w:tc>
          <w:tcPr>
            <w:tcW w:type="dxa" w:w="3360"/>
            <w:vAlign w:val="center"/>
          </w:tcPr>
          <w:p>
            <w:r>
              <w:t>Provide trusted datasets for Power BI and other authorised downstream consumers.</w:t>
            </w:r>
          </w:p>
        </w:tc>
      </w:tr>
    </w:tbl>
    <w:p>
      <w:pPr>
        <w:pStyle w:val="Heading1"/>
      </w:pPr>
      <w:r>
        <w:t>5. Stakeholders and Consumers</w:t>
      </w:r>
    </w:p>
    <w:p>
      <w:pPr>
        <w:pStyle w:val="ListBullet"/>
      </w:pPr>
      <w:r>
        <w:t>Management — trusted operational and performance reporting.</w:t>
      </w:r>
    </w:p>
    <w:p>
      <w:pPr>
        <w:pStyle w:val="ListBullet"/>
      </w:pPr>
      <w:r>
        <w:t>BI Analysts — curated datasets and business-ready marts for Power BI.</w:t>
      </w:r>
    </w:p>
    <w:p>
      <w:pPr>
        <w:pStyle w:val="ListBullet"/>
      </w:pPr>
      <w:r>
        <w:t>Data Scientists — reliable historical datasets for analytical and machine-learning work.</w:t>
      </w:r>
    </w:p>
    <w:p>
      <w:pPr>
        <w:pStyle w:val="ListBullet"/>
      </w:pPr>
      <w:r>
        <w:t>Application Teams — controlled access to curated data through APIs.</w:t>
      </w:r>
    </w:p>
    <w:p>
      <w:pPr>
        <w:pStyle w:val="ListBullet"/>
      </w:pPr>
      <w:r>
        <w:t>Data Engineering / Platform Operations — orchestration, monitoring, quality, lineage and recovery.</w:t>
      </w:r>
    </w:p>
    <w:p>
      <w:pPr>
        <w:pStyle w:val="Heading1"/>
      </w:pPr>
      <w:r>
        <w:t>6. Service-Level Objectives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Area</w:t>
            </w:r>
          </w:p>
        </w:tc>
        <w:tc>
          <w:tcPr>
            <w:tcW w:type="dxa" w:w="5040"/>
            <w:shd w:fill="D9EAF7"/>
            <w:vAlign w:val="center"/>
          </w:tcPr>
          <w:p>
            <w:r>
              <w:rPr>
                <w:b/>
              </w:rPr>
              <w:t>Target</w:t>
            </w:r>
          </w:p>
        </w:tc>
      </w:tr>
      <w:tr>
        <w:tc>
          <w:tcPr>
            <w:tcW w:type="dxa" w:w="5040"/>
            <w:vAlign w:val="center"/>
          </w:tcPr>
          <w:p>
            <w:r>
              <w:t>Daily data availability</w:t>
            </w:r>
          </w:p>
        </w:tc>
        <w:tc>
          <w:tcPr>
            <w:tcW w:type="dxa" w:w="5040"/>
            <w:vAlign w:val="center"/>
          </w:tcPr>
          <w:p>
            <w:r>
              <w:t>Before 07:00</w:t>
            </w:r>
          </w:p>
        </w:tc>
      </w:tr>
      <w:tr>
        <w:tc>
          <w:tcPr>
            <w:tcW w:type="dxa" w:w="5040"/>
            <w:vAlign w:val="center"/>
          </w:tcPr>
          <w:p>
            <w:r>
              <w:t>Pipeline success rate</w:t>
            </w:r>
          </w:p>
        </w:tc>
        <w:tc>
          <w:tcPr>
            <w:tcW w:type="dxa" w:w="5040"/>
            <w:vAlign w:val="center"/>
          </w:tcPr>
          <w:p>
            <w:r>
              <w:t>≥99% target</w:t>
            </w:r>
          </w:p>
        </w:tc>
      </w:tr>
      <w:tr>
        <w:tc>
          <w:tcPr>
            <w:tcW w:type="dxa" w:w="5040"/>
            <w:vAlign w:val="center"/>
          </w:tcPr>
          <w:p>
            <w:r>
              <w:t>Critical data-quality pass rate</w:t>
            </w:r>
          </w:p>
        </w:tc>
        <w:tc>
          <w:tcPr>
            <w:tcW w:type="dxa" w:w="5040"/>
            <w:vAlign w:val="center"/>
          </w:tcPr>
          <w:p>
            <w:r>
              <w:t>≥99% target</w:t>
            </w:r>
          </w:p>
        </w:tc>
      </w:tr>
      <w:tr>
        <w:tc>
          <w:tcPr>
            <w:tcW w:type="dxa" w:w="5040"/>
            <w:vAlign w:val="center"/>
          </w:tcPr>
          <w:p>
            <w:r>
              <w:t>Duplicate primary records</w:t>
            </w:r>
          </w:p>
        </w:tc>
        <w:tc>
          <w:tcPr>
            <w:tcW w:type="dxa" w:w="5040"/>
            <w:vAlign w:val="center"/>
          </w:tcPr>
          <w:p>
            <w:r>
              <w:t>0 accepted</w:t>
            </w:r>
          </w:p>
        </w:tc>
      </w:tr>
      <w:tr>
        <w:tc>
          <w:tcPr>
            <w:tcW w:type="dxa" w:w="5040"/>
            <w:vAlign w:val="center"/>
          </w:tcPr>
          <w:p>
            <w:r>
              <w:t>Failed records</w:t>
            </w:r>
          </w:p>
        </w:tc>
        <w:tc>
          <w:tcPr>
            <w:tcW w:type="dxa" w:w="5040"/>
            <w:vAlign w:val="center"/>
          </w:tcPr>
          <w:p>
            <w:r>
              <w:t>Quarantined with failure reason</w:t>
            </w:r>
          </w:p>
        </w:tc>
      </w:tr>
      <w:tr>
        <w:tc>
          <w:tcPr>
            <w:tcW w:type="dxa" w:w="5040"/>
            <w:vAlign w:val="center"/>
          </w:tcPr>
          <w:p>
            <w:r>
              <w:t>Pipeline retries</w:t>
            </w:r>
          </w:p>
        </w:tc>
        <w:tc>
          <w:tcPr>
            <w:tcW w:type="dxa" w:w="5040"/>
            <w:vAlign w:val="center"/>
          </w:tcPr>
          <w:p>
            <w:r>
              <w:t>Automatic where appropriate</w:t>
            </w:r>
          </w:p>
        </w:tc>
      </w:tr>
      <w:tr>
        <w:tc>
          <w:tcPr>
            <w:tcW w:type="dxa" w:w="5040"/>
            <w:vAlign w:val="center"/>
          </w:tcPr>
          <w:p>
            <w:r>
              <w:t>Data freshness</w:t>
            </w:r>
          </w:p>
        </w:tc>
        <w:tc>
          <w:tcPr>
            <w:tcW w:type="dxa" w:w="5040"/>
            <w:vAlign w:val="center"/>
          </w:tcPr>
          <w:p>
            <w:r>
              <w:t>Monitored</w:t>
            </w:r>
          </w:p>
        </w:tc>
      </w:tr>
      <w:tr>
        <w:tc>
          <w:tcPr>
            <w:tcW w:type="dxa" w:w="5040"/>
            <w:vAlign w:val="center"/>
          </w:tcPr>
          <w:p>
            <w:r>
              <w:t>Pipeline duration</w:t>
            </w:r>
          </w:p>
        </w:tc>
        <w:tc>
          <w:tcPr>
            <w:tcW w:type="dxa" w:w="5040"/>
            <w:vAlign w:val="center"/>
          </w:tcPr>
          <w:p>
            <w:r>
              <w:t>Monitored</w:t>
            </w:r>
          </w:p>
        </w:tc>
      </w:tr>
      <w:tr>
        <w:tc>
          <w:tcPr>
            <w:tcW w:type="dxa" w:w="5040"/>
            <w:vAlign w:val="center"/>
          </w:tcPr>
          <w:p>
            <w:r>
              <w:t>Recovery</w:t>
            </w:r>
          </w:p>
        </w:tc>
        <w:tc>
          <w:tcPr>
            <w:tcW w:type="dxa" w:w="5040"/>
            <w:vAlign w:val="center"/>
          </w:tcPr>
          <w:p>
            <w:r>
              <w:t>Rerunnable and idempotent</w:t>
            </w:r>
          </w:p>
        </w:tc>
      </w:tr>
    </w:tbl>
    <w:p>
      <w:pPr>
        <w:pStyle w:val="Heading1"/>
      </w:pPr>
      <w:r>
        <w:t>7. Success Criteria</w:t>
      </w:r>
    </w:p>
    <w:p>
      <w:pPr>
        <w:pStyle w:val="ListBullet"/>
      </w:pPr>
      <w:r>
        <w:t>Multiple heterogeneous sources are integrated successfully.</w:t>
      </w:r>
    </w:p>
    <w:p>
      <w:pPr>
        <w:pStyle w:val="ListBullet"/>
      </w:pPr>
      <w:r>
        <w:t>Raw, validated and business-ready data are separated using Bronze, Silver and Gold layers.</w:t>
      </w:r>
    </w:p>
    <w:p>
      <w:pPr>
        <w:pStyle w:val="ListBullet"/>
      </w:pPr>
      <w:r>
        <w:t>The analytical warehouse supports facts, dimensions and historical analysis.</w:t>
      </w:r>
    </w:p>
    <w:p>
      <w:pPr>
        <w:pStyle w:val="ListBullet"/>
      </w:pPr>
      <w:r>
        <w:t>Incremental processing prevents unnecessary full reloads.</w:t>
      </w:r>
    </w:p>
    <w:p>
      <w:pPr>
        <w:pStyle w:val="ListBullet"/>
      </w:pPr>
      <w:r>
        <w:t>Data-quality failures are detected and quarantined.</w:t>
      </w:r>
    </w:p>
    <w:p>
      <w:pPr>
        <w:pStyle w:val="ListBullet"/>
      </w:pPr>
      <w:r>
        <w:t>Pipeline execution is orchestrated, observable and recoverable.</w:t>
      </w:r>
    </w:p>
    <w:p>
      <w:pPr>
        <w:pStyle w:val="ListBullet"/>
      </w:pPr>
      <w:r>
        <w:t>Sensitive information is governed and credentials are not exposed in source control.</w:t>
      </w:r>
    </w:p>
    <w:p>
      <w:pPr>
        <w:pStyle w:val="ListBullet"/>
      </w:pPr>
      <w:r>
        <w:t>Trusted data is consumable through Power BI and an API.</w:t>
      </w:r>
    </w:p>
    <w:p>
      <w:pPr>
        <w:pStyle w:val="ListBullet"/>
      </w:pPr>
      <w:r>
        <w:t>The complete platform is documented, tested, containerised and suitable for portfolio demonstration.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