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Functional Requirements</w:t>
      </w:r>
    </w:p>
    <w:p>
      <w:pPr>
        <w:jc w:val="center"/>
      </w:pPr>
      <w:r>
        <w:rPr>
          <w:i/>
          <w:sz w:val="22"/>
        </w:rPr>
        <w:t>02_functional_requirements.docx</w:t>
      </w:r>
    </w:p>
    <w:p>
      <w:pPr>
        <w:jc w:val="center"/>
      </w:pPr>
      <w:r>
        <w:rPr>
          <w:sz w:val="18"/>
        </w:rPr>
        <w:t>RetailFlow — Enterprise Data Engineering Platform | Phase 1</w:t>
      </w:r>
    </w:p>
    <w:p/>
    <w:p>
      <w:pPr>
        <w:pStyle w:val="Heading1"/>
      </w:pPr>
      <w:r>
        <w:t>1. Purpose</w:t>
      </w:r>
    </w:p>
    <w:p>
      <w:r>
        <w:t>This document defines the functional capabilities that the RetailFlow data platform must implement.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FR-01</w:t>
            </w:r>
          </w:p>
        </w:tc>
        <w:tc>
          <w:tcPr>
            <w:tcW w:type="dxa" w:w="3360"/>
            <w:vAlign w:val="center"/>
          </w:tcPr>
          <w:p>
            <w:r>
              <w:t>Database Ingestion</w:t>
            </w:r>
          </w:p>
        </w:tc>
        <w:tc>
          <w:tcPr>
            <w:tcW w:type="dxa" w:w="3360"/>
            <w:vAlign w:val="center"/>
          </w:tcPr>
          <w:p>
            <w:r>
              <w:t>Extract orders, customers and inventory data from PostgreSQL source systems.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FR-02</w:t>
            </w:r>
          </w:p>
        </w:tc>
        <w:tc>
          <w:tcPr>
            <w:tcW w:type="dxa" w:w="3360"/>
            <w:vAlign w:val="center"/>
          </w:tcPr>
          <w:p>
            <w:r>
              <w:t>File Ingestion</w:t>
            </w:r>
          </w:p>
        </w:tc>
        <w:tc>
          <w:tcPr>
            <w:tcW w:type="dxa" w:w="3360"/>
            <w:vAlign w:val="center"/>
          </w:tcPr>
          <w:p>
            <w:r>
              <w:t>Ingest CSV and JSON files for POS transactions, suppliers, payments and returns.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FR-03</w:t>
            </w:r>
          </w:p>
        </w:tc>
        <w:tc>
          <w:tcPr>
            <w:tcW w:type="dxa" w:w="3360"/>
            <w:vAlign w:val="center"/>
          </w:tcPr>
          <w:p>
            <w:r>
              <w:t>API Ingestion</w:t>
            </w:r>
          </w:p>
        </w:tc>
        <w:tc>
          <w:tcPr>
            <w:tcW w:type="dxa" w:w="3360"/>
            <w:vAlign w:val="center"/>
          </w:tcPr>
          <w:p>
            <w:r>
              <w:t>Retrieve product, category and pricing data from REST API endpoints.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FR-04</w:t>
            </w:r>
          </w:p>
        </w:tc>
        <w:tc>
          <w:tcPr>
            <w:tcW w:type="dxa" w:w="3360"/>
            <w:vAlign w:val="center"/>
          </w:tcPr>
          <w:p>
            <w:r>
              <w:t>Raw Preservation</w:t>
            </w:r>
          </w:p>
        </w:tc>
        <w:tc>
          <w:tcPr>
            <w:tcW w:type="dxa" w:w="3360"/>
            <w:vAlign w:val="center"/>
          </w:tcPr>
          <w:p>
            <w:r>
              <w:t>Store incoming data in a Bronze layer with source data preserved as closely as practical.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FR-05</w:t>
            </w:r>
          </w:p>
        </w:tc>
        <w:tc>
          <w:tcPr>
            <w:tcW w:type="dxa" w:w="3360"/>
            <w:vAlign w:val="center"/>
          </w:tcPr>
          <w:p>
            <w:r>
              <w:t>Ingestion Metadata</w:t>
            </w:r>
          </w:p>
        </w:tc>
        <w:tc>
          <w:tcPr>
            <w:tcW w:type="dxa" w:w="3360"/>
            <w:vAlign w:val="center"/>
          </w:tcPr>
          <w:p>
            <w:r>
              <w:t>Attach ingestion timestamp, source system, batch ID, file name where relevant and pipeline run ID.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FR-06</w:t>
            </w:r>
          </w:p>
        </w:tc>
        <w:tc>
          <w:tcPr>
            <w:tcW w:type="dxa" w:w="3360"/>
            <w:vAlign w:val="center"/>
          </w:tcPr>
          <w:p>
            <w:r>
              <w:t>Validation</w:t>
            </w:r>
          </w:p>
        </w:tc>
        <w:tc>
          <w:tcPr>
            <w:tcW w:type="dxa" w:w="3360"/>
            <w:vAlign w:val="center"/>
          </w:tcPr>
          <w:p>
            <w:r>
              <w:t>Validate schema, required fields, uniqueness, relationships, accepted values and business rules.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FR-07</w:t>
            </w:r>
          </w:p>
        </w:tc>
        <w:tc>
          <w:tcPr>
            <w:tcW w:type="dxa" w:w="3360"/>
            <w:vAlign w:val="center"/>
          </w:tcPr>
          <w:p>
            <w:r>
              <w:t>Quarantine</w:t>
            </w:r>
          </w:p>
        </w:tc>
        <w:tc>
          <w:tcPr>
            <w:tcW w:type="dxa" w:w="3360"/>
            <w:vAlign w:val="center"/>
          </w:tcPr>
          <w:p>
            <w:r>
              <w:t>Route invalid records to a quarantine area and retain the failure reason.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FR-08</w:t>
            </w:r>
          </w:p>
        </w:tc>
        <w:tc>
          <w:tcPr>
            <w:tcW w:type="dxa" w:w="3360"/>
            <w:vAlign w:val="center"/>
          </w:tcPr>
          <w:p>
            <w:r>
              <w:t>Standardisation</w:t>
            </w:r>
          </w:p>
        </w:tc>
        <w:tc>
          <w:tcPr>
            <w:tcW w:type="dxa" w:w="3360"/>
            <w:vAlign w:val="center"/>
          </w:tcPr>
          <w:p>
            <w:r>
              <w:t>Standardise dates, identifiers, currencies, data types and agreed reference values.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FR-09</w:t>
            </w:r>
          </w:p>
        </w:tc>
        <w:tc>
          <w:tcPr>
            <w:tcW w:type="dxa" w:w="3360"/>
            <w:vAlign w:val="center"/>
          </w:tcPr>
          <w:p>
            <w:r>
              <w:t>Deduplication</w:t>
            </w:r>
          </w:p>
        </w:tc>
        <w:tc>
          <w:tcPr>
            <w:tcW w:type="dxa" w:w="3360"/>
            <w:vAlign w:val="center"/>
          </w:tcPr>
          <w:p>
            <w:r>
              <w:t>Identify and prevent duplicate records from entering trusted datasets.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FR-10</w:t>
            </w:r>
          </w:p>
        </w:tc>
        <w:tc>
          <w:tcPr>
            <w:tcW w:type="dxa" w:w="3360"/>
            <w:vAlign w:val="center"/>
          </w:tcPr>
          <w:p>
            <w:r>
              <w:t>Silver Processing</w:t>
            </w:r>
          </w:p>
        </w:tc>
        <w:tc>
          <w:tcPr>
            <w:tcW w:type="dxa" w:w="3360"/>
            <w:vAlign w:val="center"/>
          </w:tcPr>
          <w:p>
            <w:r>
              <w:t>Produce cleaned and validated Silver-layer datasets.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FR-11</w:t>
            </w:r>
          </w:p>
        </w:tc>
        <w:tc>
          <w:tcPr>
            <w:tcW w:type="dxa" w:w="3360"/>
            <w:vAlign w:val="center"/>
          </w:tcPr>
          <w:p>
            <w:r>
              <w:t>Gold Processing</w:t>
            </w:r>
          </w:p>
        </w:tc>
        <w:tc>
          <w:tcPr>
            <w:tcW w:type="dxa" w:w="3360"/>
            <w:vAlign w:val="center"/>
          </w:tcPr>
          <w:p>
            <w:r>
              <w:t>Produce business-ready Gold datasets such as daily sales, customer sales, product performance, store performance, inventory position and return rates.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FR-12</w:t>
            </w:r>
          </w:p>
        </w:tc>
        <w:tc>
          <w:tcPr>
            <w:tcW w:type="dxa" w:w="3360"/>
            <w:vAlign w:val="center"/>
          </w:tcPr>
          <w:p>
            <w:r>
              <w:t>Warehouse Loading</w:t>
            </w:r>
          </w:p>
        </w:tc>
        <w:tc>
          <w:tcPr>
            <w:tcW w:type="dxa" w:w="3360"/>
            <w:vAlign w:val="center"/>
          </w:tcPr>
          <w:p>
            <w:r>
              <w:t>Load curated data into an analytical PostgreSQL warehouse.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FR-13</w:t>
            </w:r>
          </w:p>
        </w:tc>
        <w:tc>
          <w:tcPr>
            <w:tcW w:type="dxa" w:w="3360"/>
            <w:vAlign w:val="center"/>
          </w:tcPr>
          <w:p>
            <w:r>
              <w:t>Dimensional Modelling</w:t>
            </w:r>
          </w:p>
        </w:tc>
        <w:tc>
          <w:tcPr>
            <w:tcW w:type="dxa" w:w="3360"/>
            <w:vAlign w:val="center"/>
          </w:tcPr>
          <w:p>
            <w:r>
              <w:t>Create fact and dimension models using surrogate keys and appropriate relationships.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FR-14</w:t>
            </w:r>
          </w:p>
        </w:tc>
        <w:tc>
          <w:tcPr>
            <w:tcW w:type="dxa" w:w="3360"/>
            <w:vAlign w:val="center"/>
          </w:tcPr>
          <w:p>
            <w:r>
              <w:t>Historical Tracking</w:t>
            </w:r>
          </w:p>
        </w:tc>
        <w:tc>
          <w:tcPr>
            <w:tcW w:type="dxa" w:w="3360"/>
            <w:vAlign w:val="center"/>
          </w:tcPr>
          <w:p>
            <w:r>
              <w:t>Implement Slowly Changing Dimension logic where historical attribute changes must be preserved.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FR-15</w:t>
            </w:r>
          </w:p>
        </w:tc>
        <w:tc>
          <w:tcPr>
            <w:tcW w:type="dxa" w:w="3360"/>
            <w:vAlign w:val="center"/>
          </w:tcPr>
          <w:p>
            <w:r>
              <w:t>Incremental Loading</w:t>
            </w:r>
          </w:p>
        </w:tc>
        <w:tc>
          <w:tcPr>
            <w:tcW w:type="dxa" w:w="3360"/>
            <w:vAlign w:val="center"/>
          </w:tcPr>
          <w:p>
            <w:r>
              <w:t>Process new or changed records using watermarks, timestamps, upserts and incremental models.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FR-16</w:t>
            </w:r>
          </w:p>
        </w:tc>
        <w:tc>
          <w:tcPr>
            <w:tcW w:type="dxa" w:w="3360"/>
            <w:vAlign w:val="center"/>
          </w:tcPr>
          <w:p>
            <w:r>
              <w:t>Orchestration</w:t>
            </w:r>
          </w:p>
        </w:tc>
        <w:tc>
          <w:tcPr>
            <w:tcW w:type="dxa" w:w="3360"/>
            <w:vAlign w:val="center"/>
          </w:tcPr>
          <w:p>
            <w:r>
              <w:t>Schedule and coordinate pipeline dependencies through Apache Airflow.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FR-17</w:t>
            </w:r>
          </w:p>
        </w:tc>
        <w:tc>
          <w:tcPr>
            <w:tcW w:type="dxa" w:w="3360"/>
            <w:vAlign w:val="center"/>
          </w:tcPr>
          <w:p>
            <w:r>
              <w:t>Retries</w:t>
            </w:r>
          </w:p>
        </w:tc>
        <w:tc>
          <w:tcPr>
            <w:tcW w:type="dxa" w:w="3360"/>
            <w:vAlign w:val="center"/>
          </w:tcPr>
          <w:p>
            <w:r>
              <w:t>Retry recoverable failures automatically according to defined policies.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FR-18</w:t>
            </w:r>
          </w:p>
        </w:tc>
        <w:tc>
          <w:tcPr>
            <w:tcW w:type="dxa" w:w="3360"/>
            <w:vAlign w:val="center"/>
          </w:tcPr>
          <w:p>
            <w:r>
              <w:t>Idempotency</w:t>
            </w:r>
          </w:p>
        </w:tc>
        <w:tc>
          <w:tcPr>
            <w:tcW w:type="dxa" w:w="3360"/>
            <w:vAlign w:val="center"/>
          </w:tcPr>
          <w:p>
            <w:r>
              <w:t>Allow pipeline reruns without creating duplicate trusted records.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FR-19</w:t>
            </w:r>
          </w:p>
        </w:tc>
        <w:tc>
          <w:tcPr>
            <w:tcW w:type="dxa" w:w="3360"/>
            <w:vAlign w:val="center"/>
          </w:tcPr>
          <w:p>
            <w:r>
              <w:t>Backfill</w:t>
            </w:r>
          </w:p>
        </w:tc>
        <w:tc>
          <w:tcPr>
            <w:tcW w:type="dxa" w:w="3360"/>
            <w:vAlign w:val="center"/>
          </w:tcPr>
          <w:p>
            <w:r>
              <w:t>Support controlled reprocessing of historical dates or batches.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FR-20</w:t>
            </w:r>
          </w:p>
        </w:tc>
        <w:tc>
          <w:tcPr>
            <w:tcW w:type="dxa" w:w="3360"/>
            <w:vAlign w:val="center"/>
          </w:tcPr>
          <w:p>
            <w:r>
              <w:t>Transformation Management</w:t>
            </w:r>
          </w:p>
        </w:tc>
        <w:tc>
          <w:tcPr>
            <w:tcW w:type="dxa" w:w="3360"/>
            <w:vAlign w:val="center"/>
          </w:tcPr>
          <w:p>
            <w:r>
              <w:t>Use dbt for modular SQL transformations, tests and documentation.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FR-21</w:t>
            </w:r>
          </w:p>
        </w:tc>
        <w:tc>
          <w:tcPr>
            <w:tcW w:type="dxa" w:w="3360"/>
            <w:vAlign w:val="center"/>
          </w:tcPr>
          <w:p>
            <w:r>
              <w:t>Logging</w:t>
            </w:r>
          </w:p>
        </w:tc>
        <w:tc>
          <w:tcPr>
            <w:tcW w:type="dxa" w:w="3360"/>
            <w:vAlign w:val="center"/>
          </w:tcPr>
          <w:p>
            <w:r>
              <w:t>Record structured operational logs for ingestion and transformation activities.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FR-22</w:t>
            </w:r>
          </w:p>
        </w:tc>
        <w:tc>
          <w:tcPr>
            <w:tcW w:type="dxa" w:w="3360"/>
            <w:vAlign w:val="center"/>
          </w:tcPr>
          <w:p>
            <w:r>
              <w:t>Monitoring</w:t>
            </w:r>
          </w:p>
        </w:tc>
        <w:tc>
          <w:tcPr>
            <w:tcW w:type="dxa" w:w="3360"/>
            <w:vAlign w:val="center"/>
          </w:tcPr>
          <w:p>
            <w:r>
              <w:t>Capture pipeline success/failure, record counts, duration, freshness and data-quality metrics.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FR-23</w:t>
            </w:r>
          </w:p>
        </w:tc>
        <w:tc>
          <w:tcPr>
            <w:tcW w:type="dxa" w:w="3360"/>
            <w:vAlign w:val="center"/>
          </w:tcPr>
          <w:p>
            <w:r>
              <w:t>Lineage</w:t>
            </w:r>
          </w:p>
        </w:tc>
        <w:tc>
          <w:tcPr>
            <w:tcW w:type="dxa" w:w="3360"/>
            <w:vAlign w:val="center"/>
          </w:tcPr>
          <w:p>
            <w:r>
              <w:t>Document or capture source-to-target movement and major transformation stages.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FR-24</w:t>
            </w:r>
          </w:p>
        </w:tc>
        <w:tc>
          <w:tcPr>
            <w:tcW w:type="dxa" w:w="3360"/>
            <w:vAlign w:val="center"/>
          </w:tcPr>
          <w:p>
            <w:r>
              <w:t>Security Controls</w:t>
            </w:r>
          </w:p>
        </w:tc>
        <w:tc>
          <w:tcPr>
            <w:tcW w:type="dxa" w:w="3360"/>
            <w:vAlign w:val="center"/>
          </w:tcPr>
          <w:p>
            <w:r>
              <w:t>Use secrets/environment configuration and restrict access to sensitive data.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FR-25</w:t>
            </w:r>
          </w:p>
        </w:tc>
        <w:tc>
          <w:tcPr>
            <w:tcW w:type="dxa" w:w="3360"/>
            <w:vAlign w:val="center"/>
          </w:tcPr>
          <w:p>
            <w:r>
              <w:t>PII Handling</w:t>
            </w:r>
          </w:p>
        </w:tc>
        <w:tc>
          <w:tcPr>
            <w:tcW w:type="dxa" w:w="3360"/>
            <w:vAlign w:val="center"/>
          </w:tcPr>
          <w:p>
            <w:r>
              <w:t>Identify sensitive customer fields and demonstrate masking or pseudonymisation where appropriate.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FR-26</w:t>
            </w:r>
          </w:p>
        </w:tc>
        <w:tc>
          <w:tcPr>
            <w:tcW w:type="dxa" w:w="3360"/>
            <w:vAlign w:val="center"/>
          </w:tcPr>
          <w:p>
            <w:r>
              <w:t>BI Serving</w:t>
            </w:r>
          </w:p>
        </w:tc>
        <w:tc>
          <w:tcPr>
            <w:tcW w:type="dxa" w:w="3360"/>
            <w:vAlign w:val="center"/>
          </w:tcPr>
          <w:p>
            <w:r>
              <w:t>Make Gold/warehouse data available to Power BI.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FR-27</w:t>
            </w:r>
          </w:p>
        </w:tc>
        <w:tc>
          <w:tcPr>
            <w:tcW w:type="dxa" w:w="3360"/>
            <w:vAlign w:val="center"/>
          </w:tcPr>
          <w:p>
            <w:r>
              <w:t>API Serving</w:t>
            </w:r>
          </w:p>
        </w:tc>
        <w:tc>
          <w:tcPr>
            <w:tcW w:type="dxa" w:w="3360"/>
            <w:vAlign w:val="center"/>
          </w:tcPr>
          <w:p>
            <w:r>
              <w:t>Expose selected curated datasets through a controlled FastAPI service.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FR-28</w:t>
            </w:r>
          </w:p>
        </w:tc>
        <w:tc>
          <w:tcPr>
            <w:tcW w:type="dxa" w:w="3360"/>
            <w:vAlign w:val="center"/>
          </w:tcPr>
          <w:p>
            <w:r>
              <w:t>Automated Testing</w:t>
            </w:r>
          </w:p>
        </w:tc>
        <w:tc>
          <w:tcPr>
            <w:tcW w:type="dxa" w:w="3360"/>
            <w:vAlign w:val="center"/>
          </w:tcPr>
          <w:p>
            <w:r>
              <w:t>Provide unit, integration, data and pipeline tests.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FR-29</w:t>
            </w:r>
          </w:p>
        </w:tc>
        <w:tc>
          <w:tcPr>
            <w:tcW w:type="dxa" w:w="3360"/>
            <w:vAlign w:val="center"/>
          </w:tcPr>
          <w:p>
            <w:r>
              <w:t>Containerisation</w:t>
            </w:r>
          </w:p>
        </w:tc>
        <w:tc>
          <w:tcPr>
            <w:tcW w:type="dxa" w:w="3360"/>
            <w:vAlign w:val="center"/>
          </w:tcPr>
          <w:p>
            <w:r>
              <w:t>Run key platform components reproducibly using Docker and Docker Compose.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FR-30</w:t>
            </w:r>
          </w:p>
        </w:tc>
        <w:tc>
          <w:tcPr>
            <w:tcW w:type="dxa" w:w="3360"/>
            <w:vAlign w:val="center"/>
          </w:tcPr>
          <w:p>
            <w:r>
              <w:t>CI/CD</w:t>
            </w:r>
          </w:p>
        </w:tc>
        <w:tc>
          <w:tcPr>
            <w:tcW w:type="dxa" w:w="3360"/>
            <w:vAlign w:val="center"/>
          </w:tcPr>
          <w:p>
            <w:r>
              <w:t>Use GitHub Actions to execute automated validation and testing on code changes.</w:t>
            </w:r>
          </w:p>
        </w:tc>
      </w:tr>
    </w:tbl>
    <w:p>
      <w:pPr>
        <w:pStyle w:val="Heading1"/>
      </w:pPr>
      <w:r>
        <w:t>2. Core Data-Quality Rules</w:t>
      </w:r>
    </w:p>
    <w:p>
      <w:pPr>
        <w:pStyle w:val="ListBullet"/>
      </w:pPr>
      <w:r>
        <w:t>customer_id must be present where a customer relationship is required.</w:t>
      </w:r>
    </w:p>
    <w:p>
      <w:pPr>
        <w:pStyle w:val="ListBullet"/>
      </w:pPr>
      <w:r>
        <w:t>order_id must be unique in the trusted order grain.</w:t>
      </w:r>
    </w:p>
    <w:p>
      <w:pPr>
        <w:pStyle w:val="ListBullet"/>
      </w:pPr>
      <w:r>
        <w:t>quantity must be greater than zero for valid sale lines.</w:t>
      </w:r>
    </w:p>
    <w:p>
      <w:pPr>
        <w:pStyle w:val="ListBullet"/>
      </w:pPr>
      <w:r>
        <w:t>product_id must resolve to an accepted product record.</w:t>
      </w:r>
    </w:p>
    <w:p>
      <w:pPr>
        <w:pStyle w:val="ListBullet"/>
      </w:pPr>
      <w:r>
        <w:t>transaction dates must satisfy agreed temporal rules and must not be unexpectedly future-dated.</w:t>
      </w:r>
    </w:p>
    <w:p>
      <w:pPr>
        <w:pStyle w:val="ListBullet"/>
      </w:pPr>
      <w:r>
        <w:t>email values, when supplied and required for the use case, must satisfy the expected format.</w:t>
      </w:r>
    </w:p>
    <w:p>
      <w:pPr>
        <w:pStyle w:val="ListBullet"/>
      </w:pPr>
      <w:r>
        <w:t>prices and monetary values must satisfy required null, type and range checks.</w:t>
      </w:r>
    </w:p>
    <w:p>
      <w:pPr>
        <w:pStyle w:val="ListBullet"/>
      </w:pPr>
      <w:r>
        <w:t>currency codes must be recognised.</w:t>
      </w:r>
    </w:p>
    <w:p>
      <w:pPr>
        <w:pStyle w:val="ListBullet"/>
      </w:pPr>
      <w:r>
        <w:t>Order totals and component values should reconcile according to defined business rules.</w:t>
      </w:r>
    </w:p>
    <w:p>
      <w:pPr>
        <w:pStyle w:val="Heading1"/>
      </w:pPr>
      <w:r>
        <w:t>3. Failure Scenarios to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Expected Behaviour</w:t>
            </w:r>
          </w:p>
        </w:tc>
      </w:tr>
      <w:tr>
        <w:tc>
          <w:tcPr>
            <w:tcW w:type="dxa" w:w="5040"/>
            <w:vAlign w:val="center"/>
          </w:tcPr>
          <w:p>
            <w:r>
              <w:t>API unavailable</w:t>
            </w:r>
          </w:p>
        </w:tc>
        <w:tc>
          <w:tcPr>
            <w:tcW w:type="dxa" w:w="5040"/>
            <w:vAlign w:val="center"/>
          </w:tcPr>
          <w:p>
            <w:r>
              <w:t>Retry according to policy; fail clearly if retry limit is exhausted.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Malformed supplier file</w:t>
            </w:r>
          </w:p>
        </w:tc>
        <w:tc>
          <w:tcPr>
            <w:tcW w:type="dxa" w:w="5040"/>
            <w:vAlign w:val="center"/>
          </w:tcPr>
          <w:p>
            <w:r>
              <w:t>Reject or quarantine invalid content and record the reason.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Duplicate order batch</w:t>
            </w:r>
          </w:p>
        </w:tc>
        <w:tc>
          <w:tcPr>
            <w:tcW w:type="dxa" w:w="5040"/>
            <w:vAlign w:val="center"/>
          </w:tcPr>
          <w:p>
            <w:r>
              <w:t>Rerun safely without duplicating trusted records.</w:t>
            </w:r>
          </w:p>
        </w:tc>
      </w:tr>
      <w:tr>
        <w:tc>
          <w:tcPr>
            <w:tcW w:type="dxa" w:w="5040"/>
            <w:vAlign w:val="center"/>
          </w:tcPr>
          <w:p>
            <w:r>
              <w:t>Missing required column</w:t>
            </w:r>
          </w:p>
        </w:tc>
        <w:tc>
          <w:tcPr>
            <w:tcW w:type="dxa" w:w="5040"/>
            <w:vAlign w:val="center"/>
          </w:tcPr>
          <w:p>
            <w:r>
              <w:t>Fail schema validation before trusted processing.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Database temporarily unavailable</w:t>
            </w:r>
          </w:p>
        </w:tc>
        <w:tc>
          <w:tcPr>
            <w:tcW w:type="dxa" w:w="5040"/>
            <w:vAlign w:val="center"/>
          </w:tcPr>
          <w:p>
            <w:r>
              <w:t>Fail cleanly and retry where configured.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Historical period requires rebuild</w:t>
            </w:r>
          </w:p>
        </w:tc>
        <w:tc>
          <w:tcPr>
            <w:tcW w:type="dxa" w:w="5040"/>
            <w:vAlign w:val="center"/>
          </w:tcPr>
          <w:p>
            <w:r>
              <w:t>Execute controlled backfill for the selected period.</w:t>
            </w:r>
          </w:p>
        </w:tc>
      </w:tr>
      <w:tr>
        <w:tc>
          <w:tcPr>
            <w:tcW w:type="dxa" w:w="5040"/>
            <w:vAlign w:val="center"/>
          </w:tcPr>
          <w:p>
            <w:r>
              <w:t>Pipeline stops midway</w:t>
            </w:r>
          </w:p>
        </w:tc>
        <w:tc>
          <w:tcPr>
            <w:tcW w:type="dxa" w:w="5040"/>
            <w:vAlign w:val="center"/>
          </w:tcPr>
          <w:p>
            <w:r>
              <w:t>Restart or rerun without corrupting or duplicating trusted data.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