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Non-Functional Requirements</w:t>
      </w:r>
    </w:p>
    <w:p>
      <w:pPr>
        <w:jc w:val="center"/>
      </w:pPr>
      <w:r>
        <w:rPr>
          <w:i/>
          <w:sz w:val="22"/>
        </w:rPr>
        <w:t>03_non_functional_requirements.docx</w:t>
      </w:r>
    </w:p>
    <w:p>
      <w:pPr>
        <w:jc w:val="center"/>
      </w:pPr>
      <w:r>
        <w:rPr>
          <w:sz w:val="18"/>
        </w:rPr>
        <w:t>RetailFlow — Enterprise Data Engineering Platform | Phase 1</w:t>
      </w:r>
    </w:p>
    <w:p/>
    <w:p>
      <w:pPr>
        <w:pStyle w:val="Heading1"/>
      </w:pPr>
      <w:r>
        <w:t>1. Purpose</w:t>
      </w:r>
    </w:p>
    <w:p>
      <w:r>
        <w:t>This document defines the operational, security, reliability, maintainability and performance characteristics expected of the RetailFlow platform. These are project targets and design requirements, not claims of achieved production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NFR-01</w:t>
            </w:r>
          </w:p>
        </w:tc>
        <w:tc>
          <w:tcPr>
            <w:tcW w:type="dxa" w:w="3360"/>
            <w:vAlign w:val="center"/>
          </w:tcPr>
          <w:p>
            <w:r>
              <w:t>Availability</w:t>
            </w:r>
          </w:p>
        </w:tc>
        <w:tc>
          <w:tcPr>
            <w:tcW w:type="dxa" w:w="3360"/>
            <w:vAlign w:val="center"/>
          </w:tcPr>
          <w:p>
            <w:r>
              <w:t>The scheduled daily pipeline should meet a ≥99% success-rate target under the project test conditions.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NFR-02</w:t>
            </w:r>
          </w:p>
        </w:tc>
        <w:tc>
          <w:tcPr>
            <w:tcW w:type="dxa" w:w="3360"/>
            <w:vAlign w:val="center"/>
          </w:tcPr>
          <w:p>
            <w:r>
              <w:t>Freshness</w:t>
            </w:r>
          </w:p>
        </w:tc>
        <w:tc>
          <w:tcPr>
            <w:tcW w:type="dxa" w:w="3360"/>
            <w:vAlign w:val="center"/>
          </w:tcPr>
          <w:p>
            <w:r>
              <w:t>Required previous-day datasets should be available before 07:00.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NFR-03</w:t>
            </w:r>
          </w:p>
        </w:tc>
        <w:tc>
          <w:tcPr>
            <w:tcW w:type="dxa" w:w="3360"/>
            <w:vAlign w:val="center"/>
          </w:tcPr>
          <w:p>
            <w:r>
              <w:t>Reliability</w:t>
            </w:r>
          </w:p>
        </w:tc>
        <w:tc>
          <w:tcPr>
            <w:tcW w:type="dxa" w:w="3360"/>
            <w:vAlign w:val="center"/>
          </w:tcPr>
          <w:p>
            <w:r>
              <w:t>Recoverable failures should use controlled retries; unrecoverable failures must be visible and diagnosable.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NFR-04</w:t>
            </w:r>
          </w:p>
        </w:tc>
        <w:tc>
          <w:tcPr>
            <w:tcW w:type="dxa" w:w="3360"/>
            <w:vAlign w:val="center"/>
          </w:tcPr>
          <w:p>
            <w:r>
              <w:t>Idempotency</w:t>
            </w:r>
          </w:p>
        </w:tc>
        <w:tc>
          <w:tcPr>
            <w:tcW w:type="dxa" w:w="3360"/>
            <w:vAlign w:val="center"/>
          </w:tcPr>
          <w:p>
            <w:r>
              <w:t>Repeated execution of the same logical batch must not create duplicate trusted records.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NFR-05</w:t>
            </w:r>
          </w:p>
        </w:tc>
        <w:tc>
          <w:tcPr>
            <w:tcW w:type="dxa" w:w="3360"/>
            <w:vAlign w:val="center"/>
          </w:tcPr>
          <w:p>
            <w:r>
              <w:t>Data Quality</w:t>
            </w:r>
          </w:p>
        </w:tc>
        <w:tc>
          <w:tcPr>
            <w:tcW w:type="dxa" w:w="3360"/>
            <w:vAlign w:val="center"/>
          </w:tcPr>
          <w:p>
            <w:r>
              <w:t>Critical validation rules should achieve a ≥99% pass-rate target while failed records are quarantined.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NFR-06</w:t>
            </w:r>
          </w:p>
        </w:tc>
        <w:tc>
          <w:tcPr>
            <w:tcW w:type="dxa" w:w="3360"/>
            <w:vAlign w:val="center"/>
          </w:tcPr>
          <w:p>
            <w:r>
              <w:t>Scalability</w:t>
            </w:r>
          </w:p>
        </w:tc>
        <w:tc>
          <w:tcPr>
            <w:tcW w:type="dxa" w:w="3360"/>
            <w:vAlign w:val="center"/>
          </w:tcPr>
          <w:p>
            <w:r>
              <w:t>The architecture should support growth beyond the development dataset through partitioning, incremental processing and modular services.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NFR-07</w:t>
            </w:r>
          </w:p>
        </w:tc>
        <w:tc>
          <w:tcPr>
            <w:tcW w:type="dxa" w:w="3360"/>
            <w:vAlign w:val="center"/>
          </w:tcPr>
          <w:p>
            <w:r>
              <w:t>Performance</w:t>
            </w:r>
          </w:p>
        </w:tc>
        <w:tc>
          <w:tcPr>
            <w:tcW w:type="dxa" w:w="3360"/>
            <w:vAlign w:val="center"/>
          </w:tcPr>
          <w:p>
            <w:r>
              <w:t>Pipeline duration and warehouse query performance must be measured and optimised where bottlenecks are identified.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NFR-08</w:t>
            </w:r>
          </w:p>
        </w:tc>
        <w:tc>
          <w:tcPr>
            <w:tcW w:type="dxa" w:w="3360"/>
            <w:vAlign w:val="center"/>
          </w:tcPr>
          <w:p>
            <w:r>
              <w:t>Maintainability</w:t>
            </w:r>
          </w:p>
        </w:tc>
        <w:tc>
          <w:tcPr>
            <w:tcW w:type="dxa" w:w="3360"/>
            <w:vAlign w:val="center"/>
          </w:tcPr>
          <w:p>
            <w:r>
              <w:t>Python, SQL, dbt and orchestration code should be modular, documented and version controlled.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NFR-09</w:t>
            </w:r>
          </w:p>
        </w:tc>
        <w:tc>
          <w:tcPr>
            <w:tcW w:type="dxa" w:w="3360"/>
            <w:vAlign w:val="center"/>
          </w:tcPr>
          <w:p>
            <w:r>
              <w:t>Testability</w:t>
            </w:r>
          </w:p>
        </w:tc>
        <w:tc>
          <w:tcPr>
            <w:tcW w:type="dxa" w:w="3360"/>
            <w:vAlign w:val="center"/>
          </w:tcPr>
          <w:p>
            <w:r>
              <w:t>Core ingestion, transformation and data-quality logic must be testable through automated tests.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NFR-10</w:t>
            </w:r>
          </w:p>
        </w:tc>
        <w:tc>
          <w:tcPr>
            <w:tcW w:type="dxa" w:w="3360"/>
            <w:vAlign w:val="center"/>
          </w:tcPr>
          <w:p>
            <w:r>
              <w:t>Observability</w:t>
            </w:r>
          </w:p>
        </w:tc>
        <w:tc>
          <w:tcPr>
            <w:tcW w:type="dxa" w:w="3360"/>
            <w:vAlign w:val="center"/>
          </w:tcPr>
          <w:p>
            <w:r>
              <w:t>The platform must expose logs and metrics for run status, duration, record counts, freshness and data quality.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NFR-11</w:t>
            </w:r>
          </w:p>
        </w:tc>
        <w:tc>
          <w:tcPr>
            <w:tcW w:type="dxa" w:w="3360"/>
            <w:vAlign w:val="center"/>
          </w:tcPr>
          <w:p>
            <w:r>
              <w:t>Traceability</w:t>
            </w:r>
          </w:p>
        </w:tc>
        <w:tc>
          <w:tcPr>
            <w:tcW w:type="dxa" w:w="3360"/>
            <w:vAlign w:val="center"/>
          </w:tcPr>
          <w:p>
            <w:r>
              <w:t>Data should be traceable to its source, batch/run and major transformation stages.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NFR-12</w:t>
            </w:r>
          </w:p>
        </w:tc>
        <w:tc>
          <w:tcPr>
            <w:tcW w:type="dxa" w:w="3360"/>
            <w:vAlign w:val="center"/>
          </w:tcPr>
          <w:p>
            <w:r>
              <w:t>Security</w:t>
            </w:r>
          </w:p>
        </w:tc>
        <w:tc>
          <w:tcPr>
            <w:tcW w:type="dxa" w:w="3360"/>
            <w:vAlign w:val="center"/>
          </w:tcPr>
          <w:p>
            <w:r>
              <w:t>Credentials must not be committed to Git; secrets should be supplied through environment/secrets management.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NFR-13</w:t>
            </w:r>
          </w:p>
        </w:tc>
        <w:tc>
          <w:tcPr>
            <w:tcW w:type="dxa" w:w="3360"/>
            <w:vAlign w:val="center"/>
          </w:tcPr>
          <w:p>
            <w:r>
              <w:t>Access Control</w:t>
            </w:r>
          </w:p>
        </w:tc>
        <w:tc>
          <w:tcPr>
            <w:tcW w:type="dxa" w:w="3360"/>
            <w:vAlign w:val="center"/>
          </w:tcPr>
          <w:p>
            <w:r>
              <w:t>Sensitive and operational datasets should support role-appropriate access concepts.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NFR-14</w:t>
            </w:r>
          </w:p>
        </w:tc>
        <w:tc>
          <w:tcPr>
            <w:tcW w:type="dxa" w:w="3360"/>
            <w:vAlign w:val="center"/>
          </w:tcPr>
          <w:p>
            <w:r>
              <w:t>Privacy</w:t>
            </w:r>
          </w:p>
        </w:tc>
        <w:tc>
          <w:tcPr>
            <w:tcW w:type="dxa" w:w="3360"/>
            <w:vAlign w:val="center"/>
          </w:tcPr>
          <w:p>
            <w:r>
              <w:t>PII should be identified and protected through masking, pseudonymisation or restricted access as appropriate.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NFR-15</w:t>
            </w:r>
          </w:p>
        </w:tc>
        <w:tc>
          <w:tcPr>
            <w:tcW w:type="dxa" w:w="3360"/>
            <w:vAlign w:val="center"/>
          </w:tcPr>
          <w:p>
            <w:r>
              <w:t>GDPR Awareness</w:t>
            </w:r>
          </w:p>
        </w:tc>
        <w:tc>
          <w:tcPr>
            <w:tcW w:type="dxa" w:w="3360"/>
            <w:vAlign w:val="center"/>
          </w:tcPr>
          <w:p>
            <w:r>
              <w:t>The design should demonstrate data minimisation, retention/deletion concepts, auditable handling and controlled access for UK customer data.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NFR-16</w:t>
            </w:r>
          </w:p>
        </w:tc>
        <w:tc>
          <w:tcPr>
            <w:tcW w:type="dxa" w:w="3360"/>
            <w:vAlign w:val="center"/>
          </w:tcPr>
          <w:p>
            <w:r>
              <w:t>Portability</w:t>
            </w:r>
          </w:p>
        </w:tc>
        <w:tc>
          <w:tcPr>
            <w:tcW w:type="dxa" w:w="3360"/>
            <w:vAlign w:val="center"/>
          </w:tcPr>
          <w:p>
            <w:r>
              <w:t>Local platform components should be reproducible using Docker/Docker Compose.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NFR-17</w:t>
            </w:r>
          </w:p>
        </w:tc>
        <w:tc>
          <w:tcPr>
            <w:tcW w:type="dxa" w:w="3360"/>
            <w:vAlign w:val="center"/>
          </w:tcPr>
          <w:p>
            <w:r>
              <w:t>Deployment Quality</w:t>
            </w:r>
          </w:p>
        </w:tc>
        <w:tc>
          <w:tcPr>
            <w:tcW w:type="dxa" w:w="3360"/>
            <w:vAlign w:val="center"/>
          </w:tcPr>
          <w:p>
            <w:r>
              <w:t>Code changes should pass automated checks through CI/CD before being treated as releasable.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NFR-18</w:t>
            </w:r>
          </w:p>
        </w:tc>
        <w:tc>
          <w:tcPr>
            <w:tcW w:type="dxa" w:w="3360"/>
            <w:vAlign w:val="center"/>
          </w:tcPr>
          <w:p>
            <w:r>
              <w:t>Recoverability</w:t>
            </w:r>
          </w:p>
        </w:tc>
        <w:tc>
          <w:tcPr>
            <w:tcW w:type="dxa" w:w="3360"/>
            <w:vAlign w:val="center"/>
          </w:tcPr>
          <w:p>
            <w:r>
              <w:t>The platform should support safe reruns, controlled backfills and recovery from partial failures.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NFR-19</w:t>
            </w:r>
          </w:p>
        </w:tc>
        <w:tc>
          <w:tcPr>
            <w:tcW w:type="dxa" w:w="3360"/>
            <w:vAlign w:val="center"/>
          </w:tcPr>
          <w:p>
            <w:r>
              <w:t>Documentation</w:t>
            </w:r>
          </w:p>
        </w:tc>
        <w:tc>
          <w:tcPr>
            <w:tcW w:type="dxa" w:w="3360"/>
            <w:vAlign w:val="center"/>
          </w:tcPr>
          <w:p>
            <w:r>
              <w:t>Architecture, source definitions, models, operational procedures and recovery processes must be documented.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NFR-20</w:t>
            </w:r>
          </w:p>
        </w:tc>
        <w:tc>
          <w:tcPr>
            <w:tcW w:type="dxa" w:w="3360"/>
            <w:vAlign w:val="center"/>
          </w:tcPr>
          <w:p>
            <w:r>
              <w:t>Cloud Readiness</w:t>
            </w:r>
          </w:p>
        </w:tc>
        <w:tc>
          <w:tcPr>
            <w:tcW w:type="dxa" w:w="3360"/>
            <w:vAlign w:val="center"/>
          </w:tcPr>
          <w:p>
            <w:r>
              <w:t>The local architecture should be designed so that an Azure implementation can be introduced in a later project phase.</w:t>
            </w:r>
          </w:p>
        </w:tc>
      </w:tr>
    </w:tbl>
    <w:p>
      <w:pPr>
        <w:pStyle w:val="Heading1"/>
      </w:pPr>
      <w:r>
        <w:t>2. Development Data Scale</w:t>
      </w:r>
    </w:p>
    <w:p>
      <w:r>
        <w:t>The project will use synthetic data at a scale large enough to make incremental processing, performance and quality controls meaningful without unnecessarily exhausting the development machine. The dataset will be increased progressively during later performance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Indicative Scale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Customers</w:t>
            </w:r>
          </w:p>
        </w:tc>
        <w:tc>
          <w:tcPr>
            <w:tcW w:type="dxa" w:w="5040"/>
            <w:vAlign w:val="center"/>
          </w:tcPr>
          <w:p>
            <w:r>
              <w:t>250,000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Products</w:t>
            </w:r>
          </w:p>
        </w:tc>
        <w:tc>
          <w:tcPr>
            <w:tcW w:type="dxa" w:w="5040"/>
            <w:vAlign w:val="center"/>
          </w:tcPr>
          <w:p>
            <w:r>
              <w:t>20,000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Orders</w:t>
            </w:r>
          </w:p>
        </w:tc>
        <w:tc>
          <w:tcPr>
            <w:tcW w:type="dxa" w:w="5040"/>
            <w:vAlign w:val="center"/>
          </w:tcPr>
          <w:p>
            <w:r>
              <w:t>1,500,000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Order Items</w:t>
            </w:r>
          </w:p>
        </w:tc>
        <w:tc>
          <w:tcPr>
            <w:tcW w:type="dxa" w:w="5040"/>
            <w:vAlign w:val="center"/>
          </w:tcPr>
          <w:p>
            <w:r>
              <w:t>4,000,000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Payments</w:t>
            </w:r>
          </w:p>
        </w:tc>
        <w:tc>
          <w:tcPr>
            <w:tcW w:type="dxa" w:w="5040"/>
            <w:vAlign w:val="center"/>
          </w:tcPr>
          <w:p>
            <w:r>
              <w:t>1,500,000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Inventory events/records</w:t>
            </w:r>
          </w:p>
        </w:tc>
        <w:tc>
          <w:tcPr>
            <w:tcW w:type="dxa" w:w="5040"/>
            <w:vAlign w:val="center"/>
          </w:tcPr>
          <w:p>
            <w:r>
              <w:t>2,000,000+</w:t>
            </w:r>
          </w:p>
        </w:tc>
      </w:tr>
      <w:tr>
        <w:tc>
          <w:tcPr>
            <w:tcW w:type="dxa" w:w="5040"/>
            <w:vAlign w:val="center"/>
          </w:tcPr>
          <w:p>
            <w:r>
              <w:t>Returns</w:t>
            </w:r>
          </w:p>
        </w:tc>
        <w:tc>
          <w:tcPr>
            <w:tcW w:type="dxa" w:w="5040"/>
            <w:vAlign w:val="center"/>
          </w:tcPr>
          <w:p>
            <w:r>
              <w:t>150,000+</w:t>
            </w:r>
          </w:p>
        </w:tc>
      </w:tr>
    </w:tbl>
    <w:p>
      <w:pPr>
        <w:pStyle w:val="Heading1"/>
      </w:pPr>
      <w:r>
        <w:t>3. Production Scenario Assumption</w:t>
      </w:r>
    </w:p>
    <w:p>
      <w:r>
        <w:t>For architectural discussion, RetailFlow is modelled as a growing retailer handling approximately five million or more sales transactions annually, hundreds of thousands of customers, thousands of products and continuous inventory changes. This is a fictional scenario used to justify engineering decisions.</w:t>
      </w:r>
    </w:p>
    <w:p>
      <w:pPr>
        <w:pStyle w:val="Heading1"/>
      </w:pPr>
      <w:r>
        <w:t>4. Security and Governance Principles</w:t>
      </w:r>
    </w:p>
    <w:p>
      <w:pPr>
        <w:pStyle w:val="ListBullet"/>
      </w:pPr>
      <w:r>
        <w:t>Least-privilege access concepts should be applied to platform services and sensitive datasets.</w:t>
      </w:r>
    </w:p>
    <w:p>
      <w:pPr>
        <w:pStyle w:val="ListBullet"/>
      </w:pPr>
      <w:r>
        <w:t>Personally identifiable information should be classified explicitly.</w:t>
      </w:r>
    </w:p>
    <w:p>
      <w:pPr>
        <w:pStyle w:val="ListBullet"/>
      </w:pPr>
      <w:r>
        <w:t>Secrets and credentials must be separated from application code and source control.</w:t>
      </w:r>
    </w:p>
    <w:p>
      <w:pPr>
        <w:pStyle w:val="ListBullet"/>
      </w:pPr>
      <w:r>
        <w:t>Operational processing should produce auditable metadata where practical.</w:t>
      </w:r>
    </w:p>
    <w:p>
      <w:pPr>
        <w:pStyle w:val="ListBullet"/>
      </w:pPr>
      <w:r>
        <w:t>Raw data should be preserved according to the project retention design while downstream exposure is minimised.</w:t>
      </w:r>
    </w:p>
    <w:p>
      <w:pPr>
        <w:pStyle w:val="ListBullet"/>
      </w:pPr>
      <w:r>
        <w:t>Data-quality failures must be visible rather than silently corrected when doing so would obscure source issues.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