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Data Source Catalog</w:t>
      </w:r>
    </w:p>
    <w:p>
      <w:pPr>
        <w:jc w:val="center"/>
      </w:pPr>
      <w:r>
        <w:rPr>
          <w:i/>
          <w:sz w:val="22"/>
        </w:rPr>
        <w:t>04_data_source_catalog.docx</w:t>
      </w:r>
    </w:p>
    <w:p>
      <w:pPr>
        <w:jc w:val="center"/>
      </w:pPr>
      <w:r>
        <w:rPr>
          <w:sz w:val="18"/>
        </w:rPr>
        <w:t>RetailFlow — Enterprise Data Engineering Platform | Phase 1</w:t>
      </w:r>
    </w:p>
    <w:p/>
    <w:p>
      <w:pPr>
        <w:pStyle w:val="Heading1"/>
      </w:pPr>
      <w:r>
        <w:t>1. Purpose</w:t>
      </w:r>
    </w:p>
    <w:p>
      <w:r>
        <w:t>This catalog records the initial source systems that will feed the RetailFlow platform. The exact physical schemas, fields and sample payloads will be designed in later phases.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D9EAF7"/>
            <w:vAlign w:val="center"/>
          </w:tcPr>
          <w:p>
            <w:r>
              <w:rPr>
                <w:b/>
              </w:rPr>
              <w:t>ID</w:t>
            </w:r>
          </w:p>
        </w:tc>
        <w:tc>
          <w:tcPr>
            <w:tcW w:type="dxa" w:w="1680"/>
            <w:shd w:fill="D9EAF7"/>
            <w:vAlign w:val="center"/>
          </w:tcPr>
          <w:p>
            <w:r>
              <w:rPr>
                <w:b/>
              </w:rPr>
              <w:t>Source</w:t>
            </w:r>
          </w:p>
        </w:tc>
        <w:tc>
          <w:tcPr>
            <w:tcW w:type="dxa" w:w="1680"/>
            <w:shd w:fill="D9EAF7"/>
            <w:vAlign w:val="center"/>
          </w:tcPr>
          <w:p>
            <w:r>
              <w:rPr>
                <w:b/>
              </w:rPr>
              <w:t>Technology / Format</w:t>
            </w:r>
          </w:p>
        </w:tc>
        <w:tc>
          <w:tcPr>
            <w:tcW w:type="dxa" w:w="1680"/>
            <w:shd w:fill="D9EAF7"/>
            <w:vAlign w:val="center"/>
          </w:tcPr>
          <w:p>
            <w:r>
              <w:rPr>
                <w:b/>
              </w:rPr>
              <w:t>Primary Data</w:t>
            </w:r>
          </w:p>
        </w:tc>
        <w:tc>
          <w:tcPr>
            <w:tcW w:type="dxa" w:w="1680"/>
            <w:shd w:fill="D9EAF7"/>
            <w:vAlign w:val="center"/>
          </w:tcPr>
          <w:p>
            <w:r>
              <w:rPr>
                <w:b/>
              </w:rPr>
              <w:t>Pattern</w:t>
            </w:r>
          </w:p>
        </w:tc>
        <w:tc>
          <w:tcPr>
            <w:tcW w:type="dxa" w:w="1680"/>
            <w:shd w:fill="D9EAF7"/>
            <w:vAlign w:val="center"/>
          </w:tcPr>
          <w:p>
            <w:r>
              <w:rPr>
                <w:b/>
              </w:rPr>
              <w:t>Notes</w:t>
            </w:r>
          </w:p>
        </w:tc>
      </w:tr>
      <w:tr>
        <w:tc>
          <w:tcPr>
            <w:tcW w:type="dxa" w:w="1680"/>
            <w:vAlign w:val="center"/>
          </w:tcPr>
          <w:p>
            <w:r>
              <w:t>SRC-01</w:t>
            </w:r>
          </w:p>
        </w:tc>
        <w:tc>
          <w:tcPr>
            <w:tcW w:type="dxa" w:w="1680"/>
            <w:vAlign w:val="center"/>
          </w:tcPr>
          <w:p>
            <w:r>
              <w:t>E-commerce Platform</w:t>
            </w:r>
          </w:p>
        </w:tc>
        <w:tc>
          <w:tcPr>
            <w:tcW w:type="dxa" w:w="1680"/>
            <w:vAlign w:val="center"/>
          </w:tcPr>
          <w:p>
            <w:r>
              <w:t>PostgreSQL</w:t>
            </w:r>
          </w:p>
        </w:tc>
        <w:tc>
          <w:tcPr>
            <w:tcW w:type="dxa" w:w="1680"/>
            <w:vAlign w:val="center"/>
          </w:tcPr>
          <w:p>
            <w:r>
              <w:t>Orders, order items, customers</w:t>
            </w:r>
          </w:p>
        </w:tc>
        <w:tc>
          <w:tcPr>
            <w:tcW w:type="dxa" w:w="1680"/>
            <w:vAlign w:val="center"/>
          </w:tcPr>
          <w:p>
            <w:r>
              <w:t>Incremental</w:t>
            </w:r>
          </w:p>
        </w:tc>
        <w:tc>
          <w:tcPr>
            <w:tcW w:type="dxa" w:w="1680"/>
            <w:vAlign w:val="center"/>
          </w:tcPr>
          <w:p>
            <w:r>
              <w:t>Transactional database; primary source for online commerce activity.</w:t>
            </w:r>
          </w:p>
        </w:tc>
      </w:tr>
      <w:tr>
        <w:tc>
          <w:tcPr>
            <w:tcW w:type="dxa" w:w="1680"/>
            <w:vAlign w:val="center"/>
          </w:tcPr>
          <w:p>
            <w:r>
              <w:t>SRC-02</w:t>
            </w:r>
          </w:p>
        </w:tc>
        <w:tc>
          <w:tcPr>
            <w:tcW w:type="dxa" w:w="1680"/>
            <w:vAlign w:val="center"/>
          </w:tcPr>
          <w:p>
            <w:r>
              <w:t>Store / POS</w:t>
            </w:r>
          </w:p>
        </w:tc>
        <w:tc>
          <w:tcPr>
            <w:tcW w:type="dxa" w:w="1680"/>
            <w:vAlign w:val="center"/>
          </w:tcPr>
          <w:p>
            <w:r>
              <w:t>CSV</w:t>
            </w:r>
          </w:p>
        </w:tc>
        <w:tc>
          <w:tcPr>
            <w:tcW w:type="dxa" w:w="1680"/>
            <w:vAlign w:val="center"/>
          </w:tcPr>
          <w:p>
            <w:r>
              <w:t>Store transactions</w:t>
            </w:r>
          </w:p>
        </w:tc>
        <w:tc>
          <w:tcPr>
            <w:tcW w:type="dxa" w:w="1680"/>
            <w:vAlign w:val="center"/>
          </w:tcPr>
          <w:p>
            <w:r>
              <w:t>Daily batch</w:t>
            </w:r>
          </w:p>
        </w:tc>
        <w:tc>
          <w:tcPr>
            <w:tcW w:type="dxa" w:w="1680"/>
            <w:vAlign w:val="center"/>
          </w:tcPr>
          <w:p>
            <w:r>
              <w:t>Files represent daily store-level sales extracts.</w:t>
            </w:r>
          </w:p>
        </w:tc>
      </w:tr>
      <w:tr>
        <w:tc>
          <w:tcPr>
            <w:tcW w:type="dxa" w:w="1680"/>
            <w:vAlign w:val="center"/>
          </w:tcPr>
          <w:p>
            <w:r>
              <w:t>SRC-03</w:t>
            </w:r>
          </w:p>
        </w:tc>
        <w:tc>
          <w:tcPr>
            <w:tcW w:type="dxa" w:w="1680"/>
            <w:vAlign w:val="center"/>
          </w:tcPr>
          <w:p>
            <w:r>
              <w:t>Product System</w:t>
            </w:r>
          </w:p>
        </w:tc>
        <w:tc>
          <w:tcPr>
            <w:tcW w:type="dxa" w:w="1680"/>
            <w:vAlign w:val="center"/>
          </w:tcPr>
          <w:p>
            <w:r>
              <w:t>REST API / JSON</w:t>
            </w:r>
          </w:p>
        </w:tc>
        <w:tc>
          <w:tcPr>
            <w:tcW w:type="dxa" w:w="1680"/>
            <w:vAlign w:val="center"/>
          </w:tcPr>
          <w:p>
            <w:r>
              <w:t>Products, categories, prices</w:t>
            </w:r>
          </w:p>
        </w:tc>
        <w:tc>
          <w:tcPr>
            <w:tcW w:type="dxa" w:w="1680"/>
            <w:vAlign w:val="center"/>
          </w:tcPr>
          <w:p>
            <w:r>
              <w:t>API ingestion</w:t>
            </w:r>
          </w:p>
        </w:tc>
        <w:tc>
          <w:tcPr>
            <w:tcW w:type="dxa" w:w="1680"/>
            <w:vAlign w:val="center"/>
          </w:tcPr>
          <w:p>
            <w:r>
              <w:t>API responses will support pagination and later failure/retry testing.</w:t>
            </w:r>
          </w:p>
        </w:tc>
      </w:tr>
      <w:tr>
        <w:tc>
          <w:tcPr>
            <w:tcW w:type="dxa" w:w="1680"/>
            <w:vAlign w:val="center"/>
          </w:tcPr>
          <w:p>
            <w:r>
              <w:t>SRC-04</w:t>
            </w:r>
          </w:p>
        </w:tc>
        <w:tc>
          <w:tcPr>
            <w:tcW w:type="dxa" w:w="1680"/>
            <w:vAlign w:val="center"/>
          </w:tcPr>
          <w:p>
            <w:r>
              <w:t>Inventory System</w:t>
            </w:r>
          </w:p>
        </w:tc>
        <w:tc>
          <w:tcPr>
            <w:tcW w:type="dxa" w:w="1680"/>
            <w:vAlign w:val="center"/>
          </w:tcPr>
          <w:p>
            <w:r>
              <w:t>PostgreSQL</w:t>
            </w:r>
          </w:p>
        </w:tc>
        <w:tc>
          <w:tcPr>
            <w:tcW w:type="dxa" w:w="1680"/>
            <w:vAlign w:val="center"/>
          </w:tcPr>
          <w:p>
            <w:r>
              <w:t>Stock levels, inventory movements</w:t>
            </w:r>
          </w:p>
        </w:tc>
        <w:tc>
          <w:tcPr>
            <w:tcW w:type="dxa" w:w="1680"/>
            <w:vAlign w:val="center"/>
          </w:tcPr>
          <w:p>
            <w:r>
              <w:t>Incremental</w:t>
            </w:r>
          </w:p>
        </w:tc>
        <w:tc>
          <w:tcPr>
            <w:tcW w:type="dxa" w:w="1680"/>
            <w:vAlign w:val="center"/>
          </w:tcPr>
          <w:p>
            <w:r>
              <w:t>Used to calculate inventory position and movement history.</w:t>
            </w:r>
          </w:p>
        </w:tc>
      </w:tr>
      <w:tr>
        <w:tc>
          <w:tcPr>
            <w:tcW w:type="dxa" w:w="1680"/>
            <w:vAlign w:val="center"/>
          </w:tcPr>
          <w:p>
            <w:r>
              <w:t>SRC-05</w:t>
            </w:r>
          </w:p>
        </w:tc>
        <w:tc>
          <w:tcPr>
            <w:tcW w:type="dxa" w:w="1680"/>
            <w:vAlign w:val="center"/>
          </w:tcPr>
          <w:p>
            <w:r>
              <w:t>Supplier System</w:t>
            </w:r>
          </w:p>
        </w:tc>
        <w:tc>
          <w:tcPr>
            <w:tcW w:type="dxa" w:w="1680"/>
            <w:vAlign w:val="center"/>
          </w:tcPr>
          <w:p>
            <w:r>
              <w:t>CSV / JSON</w:t>
            </w:r>
          </w:p>
        </w:tc>
        <w:tc>
          <w:tcPr>
            <w:tcW w:type="dxa" w:w="1680"/>
            <w:vAlign w:val="center"/>
          </w:tcPr>
          <w:p>
            <w:r>
              <w:t>Suppliers, deliveries</w:t>
            </w:r>
          </w:p>
        </w:tc>
        <w:tc>
          <w:tcPr>
            <w:tcW w:type="dxa" w:w="1680"/>
            <w:vAlign w:val="center"/>
          </w:tcPr>
          <w:p>
            <w:r>
              <w:t>Batch</w:t>
            </w:r>
          </w:p>
        </w:tc>
        <w:tc>
          <w:tcPr>
            <w:tcW w:type="dxa" w:w="1680"/>
            <w:vAlign w:val="center"/>
          </w:tcPr>
          <w:p>
            <w:r>
              <w:t>Designed to include schema and file-quality scenarios.</w:t>
            </w:r>
          </w:p>
        </w:tc>
      </w:tr>
      <w:tr>
        <w:tc>
          <w:tcPr>
            <w:tcW w:type="dxa" w:w="1680"/>
            <w:vAlign w:val="center"/>
          </w:tcPr>
          <w:p>
            <w:r>
              <w:t>SRC-06</w:t>
            </w:r>
          </w:p>
        </w:tc>
        <w:tc>
          <w:tcPr>
            <w:tcW w:type="dxa" w:w="1680"/>
            <w:vAlign w:val="center"/>
          </w:tcPr>
          <w:p>
            <w:r>
              <w:t>Payments Feed</w:t>
            </w:r>
          </w:p>
        </w:tc>
        <w:tc>
          <w:tcPr>
            <w:tcW w:type="dxa" w:w="1680"/>
            <w:vAlign w:val="center"/>
          </w:tcPr>
          <w:p>
            <w:r>
              <w:t>JSON</w:t>
            </w:r>
          </w:p>
        </w:tc>
        <w:tc>
          <w:tcPr>
            <w:tcW w:type="dxa" w:w="1680"/>
            <w:vAlign w:val="center"/>
          </w:tcPr>
          <w:p>
            <w:r>
              <w:t>Payments, transaction status, refunds</w:t>
            </w:r>
          </w:p>
        </w:tc>
        <w:tc>
          <w:tcPr>
            <w:tcW w:type="dxa" w:w="1680"/>
            <w:vAlign w:val="center"/>
          </w:tcPr>
          <w:p>
            <w:r>
              <w:t>Incremental</w:t>
            </w:r>
          </w:p>
        </w:tc>
        <w:tc>
          <w:tcPr>
            <w:tcW w:type="dxa" w:w="1680"/>
            <w:vAlign w:val="center"/>
          </w:tcPr>
          <w:p>
            <w:r>
              <w:t>Used for payment reconciliation and refund analysis.</w:t>
            </w:r>
          </w:p>
        </w:tc>
      </w:tr>
      <w:tr>
        <w:tc>
          <w:tcPr>
            <w:tcW w:type="dxa" w:w="1680"/>
            <w:vAlign w:val="center"/>
          </w:tcPr>
          <w:p>
            <w:r>
              <w:t>SRC-07</w:t>
            </w:r>
          </w:p>
        </w:tc>
        <w:tc>
          <w:tcPr>
            <w:tcW w:type="dxa" w:w="1680"/>
            <w:vAlign w:val="center"/>
          </w:tcPr>
          <w:p>
            <w:r>
              <w:t>Returns System</w:t>
            </w:r>
          </w:p>
        </w:tc>
        <w:tc>
          <w:tcPr>
            <w:tcW w:type="dxa" w:w="1680"/>
            <w:vAlign w:val="center"/>
          </w:tcPr>
          <w:p>
            <w:r>
              <w:t>CSV</w:t>
            </w:r>
          </w:p>
        </w:tc>
        <w:tc>
          <w:tcPr>
            <w:tcW w:type="dxa" w:w="1680"/>
            <w:vAlign w:val="center"/>
          </w:tcPr>
          <w:p>
            <w:r>
              <w:t>Returned items, return reasons</w:t>
            </w:r>
          </w:p>
        </w:tc>
        <w:tc>
          <w:tcPr>
            <w:tcW w:type="dxa" w:w="1680"/>
            <w:vAlign w:val="center"/>
          </w:tcPr>
          <w:p>
            <w:r>
              <w:t>Daily batch</w:t>
            </w:r>
          </w:p>
        </w:tc>
        <w:tc>
          <w:tcPr>
            <w:tcW w:type="dxa" w:w="1680"/>
            <w:vAlign w:val="center"/>
          </w:tcPr>
          <w:p>
            <w:r>
              <w:t>Supports return-rate and product-quality analysis.</w:t>
            </w:r>
          </w:p>
        </w:tc>
      </w:tr>
    </w:tbl>
    <w:p>
      <w:pPr>
        <w:pStyle w:val="Heading1"/>
      </w:pPr>
      <w:r>
        <w:t>2. Initial Source-to-Layer Mapping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r>
              <w:rPr>
                <w:b/>
              </w:rPr>
              <w:t>Source</w:t>
            </w:r>
          </w:p>
        </w:tc>
        <w:tc>
          <w:tcPr>
            <w:tcW w:type="dxa" w:w="2520"/>
            <w:shd w:fill="D9EAF7"/>
            <w:vAlign w:val="center"/>
          </w:tcPr>
          <w:p>
            <w:r>
              <w:rPr>
                <w:b/>
              </w:rPr>
              <w:t>Bronze</w:t>
            </w:r>
          </w:p>
        </w:tc>
        <w:tc>
          <w:tcPr>
            <w:tcW w:type="dxa" w:w="2520"/>
            <w:shd w:fill="D9EAF7"/>
            <w:vAlign w:val="center"/>
          </w:tcPr>
          <w:p>
            <w:r>
              <w:rPr>
                <w:b/>
              </w:rPr>
              <w:t>Silver</w:t>
            </w:r>
          </w:p>
        </w:tc>
        <w:tc>
          <w:tcPr>
            <w:tcW w:type="dxa" w:w="2520"/>
            <w:shd w:fill="D9EAF7"/>
            <w:vAlign w:val="center"/>
          </w:tcPr>
          <w:p>
            <w:r>
              <w:rPr>
                <w:b/>
              </w:rPr>
              <w:t>Example Gold Output</w:t>
            </w:r>
          </w:p>
        </w:tc>
      </w:tr>
      <w:tr>
        <w:tc>
          <w:tcPr>
            <w:tcW w:type="dxa" w:w="2520"/>
            <w:vAlign w:val="center"/>
          </w:tcPr>
          <w:p>
            <w:r>
              <w:t>E-commerce PostgreSQL</w:t>
            </w:r>
          </w:p>
        </w:tc>
        <w:tc>
          <w:tcPr>
            <w:tcW w:type="dxa" w:w="2520"/>
            <w:vAlign w:val="center"/>
          </w:tcPr>
          <w:p>
            <w:r>
              <w:t>Raw orders/customers/order items</w:t>
            </w:r>
          </w:p>
        </w:tc>
        <w:tc>
          <w:tcPr>
            <w:tcW w:type="dxa" w:w="2520"/>
            <w:vAlign w:val="center"/>
          </w:tcPr>
          <w:p>
            <w:r>
              <w:t>Validated and standardised commerce entities</w:t>
            </w:r>
          </w:p>
        </w:tc>
        <w:tc>
          <w:tcPr>
            <w:tcW w:type="dxa" w:w="2520"/>
            <w:vAlign w:val="center"/>
          </w:tcPr>
          <w:p>
            <w:r>
              <w:t>daily_sales, customer_sales</w:t>
            </w:r>
          </w:p>
        </w:tc>
      </w:tr>
      <w:tr>
        <w:tc>
          <w:tcPr>
            <w:tcW w:type="dxa" w:w="2520"/>
            <w:vAlign w:val="center"/>
          </w:tcPr>
          <w:p>
            <w:r>
              <w:t>POS CSV</w:t>
            </w:r>
          </w:p>
        </w:tc>
        <w:tc>
          <w:tcPr>
            <w:tcW w:type="dxa" w:w="2520"/>
            <w:vAlign w:val="center"/>
          </w:tcPr>
          <w:p>
            <w:r>
              <w:t>Raw daily POS files</w:t>
            </w:r>
          </w:p>
        </w:tc>
        <w:tc>
          <w:tcPr>
            <w:tcW w:type="dxa" w:w="2520"/>
            <w:vAlign w:val="center"/>
          </w:tcPr>
          <w:p>
            <w:r>
              <w:t>Clean store transactions</w:t>
            </w:r>
          </w:p>
        </w:tc>
        <w:tc>
          <w:tcPr>
            <w:tcW w:type="dxa" w:w="2520"/>
            <w:vAlign w:val="center"/>
          </w:tcPr>
          <w:p>
            <w:r>
              <w:t>store_performance, daily_sales</w:t>
            </w:r>
          </w:p>
        </w:tc>
      </w:tr>
      <w:tr>
        <w:tc>
          <w:tcPr>
            <w:tcW w:type="dxa" w:w="2520"/>
            <w:vAlign w:val="center"/>
          </w:tcPr>
          <w:p>
            <w:r>
              <w:t>Product REST API</w:t>
            </w:r>
          </w:p>
        </w:tc>
        <w:tc>
          <w:tcPr>
            <w:tcW w:type="dxa" w:w="2520"/>
            <w:vAlign w:val="center"/>
          </w:tcPr>
          <w:p>
            <w:r>
              <w:t>Raw JSON responses</w:t>
            </w:r>
          </w:p>
        </w:tc>
        <w:tc>
          <w:tcPr>
            <w:tcW w:type="dxa" w:w="2520"/>
            <w:vAlign w:val="center"/>
          </w:tcPr>
          <w:p>
            <w:r>
              <w:t>Standardised product/category/price records</w:t>
            </w:r>
          </w:p>
        </w:tc>
        <w:tc>
          <w:tcPr>
            <w:tcW w:type="dxa" w:w="2520"/>
            <w:vAlign w:val="center"/>
          </w:tcPr>
          <w:p>
            <w:r>
              <w:t>product_performance</w:t>
            </w:r>
          </w:p>
        </w:tc>
      </w:tr>
      <w:tr>
        <w:tc>
          <w:tcPr>
            <w:tcW w:type="dxa" w:w="2520"/>
            <w:vAlign w:val="center"/>
          </w:tcPr>
          <w:p>
            <w:r>
              <w:t>Inventory PostgreSQL</w:t>
            </w:r>
          </w:p>
        </w:tc>
        <w:tc>
          <w:tcPr>
            <w:tcW w:type="dxa" w:w="2520"/>
            <w:vAlign w:val="center"/>
          </w:tcPr>
          <w:p>
            <w:r>
              <w:t>Raw inventory extracts/changes</w:t>
            </w:r>
          </w:p>
        </w:tc>
        <w:tc>
          <w:tcPr>
            <w:tcW w:type="dxa" w:w="2520"/>
            <w:vAlign w:val="center"/>
          </w:tcPr>
          <w:p>
            <w:r>
              <w:t>Validated inventory movements</w:t>
            </w:r>
          </w:p>
        </w:tc>
        <w:tc>
          <w:tcPr>
            <w:tcW w:type="dxa" w:w="2520"/>
            <w:vAlign w:val="center"/>
          </w:tcPr>
          <w:p>
            <w:r>
              <w:t>inventory_position</w:t>
            </w:r>
          </w:p>
        </w:tc>
      </w:tr>
      <w:tr>
        <w:tc>
          <w:tcPr>
            <w:tcW w:type="dxa" w:w="2520"/>
            <w:vAlign w:val="center"/>
          </w:tcPr>
          <w:p>
            <w:r>
              <w:t>Supplier CSV/JSON</w:t>
            </w:r>
          </w:p>
        </w:tc>
        <w:tc>
          <w:tcPr>
            <w:tcW w:type="dxa" w:w="2520"/>
            <w:vAlign w:val="center"/>
          </w:tcPr>
          <w:p>
            <w:r>
              <w:t>Raw supplier/delivery files</w:t>
            </w:r>
          </w:p>
        </w:tc>
        <w:tc>
          <w:tcPr>
            <w:tcW w:type="dxa" w:w="2520"/>
            <w:vAlign w:val="center"/>
          </w:tcPr>
          <w:p>
            <w:r>
              <w:t>Validated supplier and delivery records</w:t>
            </w:r>
          </w:p>
        </w:tc>
        <w:tc>
          <w:tcPr>
            <w:tcW w:type="dxa" w:w="2520"/>
            <w:vAlign w:val="center"/>
          </w:tcPr>
          <w:p>
            <w:r>
              <w:t>supplier-related marts / inventory support</w:t>
            </w:r>
          </w:p>
        </w:tc>
      </w:tr>
      <w:tr>
        <w:tc>
          <w:tcPr>
            <w:tcW w:type="dxa" w:w="2520"/>
            <w:vAlign w:val="center"/>
          </w:tcPr>
          <w:p>
            <w:r>
              <w:t>Payments JSON</w:t>
            </w:r>
          </w:p>
        </w:tc>
        <w:tc>
          <w:tcPr>
            <w:tcW w:type="dxa" w:w="2520"/>
            <w:vAlign w:val="center"/>
          </w:tcPr>
          <w:p>
            <w:r>
              <w:t>Raw payment/refund events</w:t>
            </w:r>
          </w:p>
        </w:tc>
        <w:tc>
          <w:tcPr>
            <w:tcW w:type="dxa" w:w="2520"/>
            <w:vAlign w:val="center"/>
          </w:tcPr>
          <w:p>
            <w:r>
              <w:t>Validated payment records</w:t>
            </w:r>
          </w:p>
        </w:tc>
        <w:tc>
          <w:tcPr>
            <w:tcW w:type="dxa" w:w="2520"/>
            <w:vAlign w:val="center"/>
          </w:tcPr>
          <w:p>
            <w:r>
              <w:t>payment/reconciliation outputs</w:t>
            </w:r>
          </w:p>
        </w:tc>
      </w:tr>
      <w:tr>
        <w:tc>
          <w:tcPr>
            <w:tcW w:type="dxa" w:w="2520"/>
            <w:vAlign w:val="center"/>
          </w:tcPr>
          <w:p>
            <w:r>
              <w:t>Returns CSV</w:t>
            </w:r>
          </w:p>
        </w:tc>
        <w:tc>
          <w:tcPr>
            <w:tcW w:type="dxa" w:w="2520"/>
            <w:vAlign w:val="center"/>
          </w:tcPr>
          <w:p>
            <w:r>
              <w:t>Raw returns files</w:t>
            </w:r>
          </w:p>
        </w:tc>
        <w:tc>
          <w:tcPr>
            <w:tcW w:type="dxa" w:w="2520"/>
            <w:vAlign w:val="center"/>
          </w:tcPr>
          <w:p>
            <w:r>
              <w:t>Validated returns</w:t>
            </w:r>
          </w:p>
        </w:tc>
        <w:tc>
          <w:tcPr>
            <w:tcW w:type="dxa" w:w="2520"/>
            <w:vAlign w:val="center"/>
          </w:tcPr>
          <w:p>
            <w:r>
              <w:t>return_rates</w:t>
            </w:r>
          </w:p>
        </w:tc>
      </w:tr>
    </w:tbl>
    <w:p>
      <w:pPr>
        <w:pStyle w:val="Heading1"/>
      </w:pPr>
      <w:r>
        <w:t>3. Common Ingestion Metadata</w:t>
      </w:r>
    </w:p>
    <w:p>
      <w:pPr>
        <w:pStyle w:val="ListBullet"/>
      </w:pPr>
      <w:r>
        <w:t>ingestion_timestamp — time the platform received or processed the source data.</w:t>
      </w:r>
    </w:p>
    <w:p>
      <w:pPr>
        <w:pStyle w:val="ListBullet"/>
      </w:pPr>
      <w:r>
        <w:t>source_system — stable identifier for the originating system.</w:t>
      </w:r>
    </w:p>
    <w:p>
      <w:pPr>
        <w:pStyle w:val="ListBullet"/>
      </w:pPr>
      <w:r>
        <w:t>batch_id — identifier for the logical ingestion batch.</w:t>
      </w:r>
    </w:p>
    <w:p>
      <w:pPr>
        <w:pStyle w:val="ListBullet"/>
      </w:pPr>
      <w:r>
        <w:t>file_name — original file name where file-based ingestion is used.</w:t>
      </w:r>
    </w:p>
    <w:p>
      <w:pPr>
        <w:pStyle w:val="ListBullet"/>
      </w:pPr>
      <w:r>
        <w:t>pipeline_run_id — identifier linking the record/batch to an orchestration run.</w:t>
      </w:r>
    </w:p>
    <w:p>
      <w:pPr>
        <w:pStyle w:val="Heading1"/>
      </w:pPr>
      <w:r>
        <w:t>4. Expected Data-Quality Risks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Source</w:t>
            </w:r>
          </w:p>
        </w:tc>
        <w:tc>
          <w:tcPr>
            <w:tcW w:type="dxa" w:w="5040"/>
            <w:shd w:fill="D9EAF7"/>
            <w:vAlign w:val="center"/>
          </w:tcPr>
          <w:p>
            <w:r>
              <w:rPr>
                <w:b/>
              </w:rPr>
              <w:t>Example Risks</w:t>
            </w:r>
          </w:p>
        </w:tc>
      </w:tr>
      <w:tr>
        <w:tc>
          <w:tcPr>
            <w:tcW w:type="dxa" w:w="5040"/>
            <w:vAlign w:val="center"/>
          </w:tcPr>
          <w:p>
            <w:r>
              <w:t>E-commerce</w:t>
            </w:r>
          </w:p>
        </w:tc>
        <w:tc>
          <w:tcPr>
            <w:tcW w:type="dxa" w:w="5040"/>
            <w:vAlign w:val="center"/>
          </w:tcPr>
          <w:p>
            <w:r>
              <w:t>Duplicate orders, missing customer references, invalid quantities, late updates.</w:t>
            </w:r>
          </w:p>
        </w:tc>
      </w:tr>
      <w:tr>
        <w:tc>
          <w:tcPr>
            <w:tcW w:type="dxa" w:w="5040"/>
            <w:vAlign w:val="center"/>
          </w:tcPr>
          <w:p>
            <w:r>
              <w:t>POS</w:t>
            </w:r>
          </w:p>
        </w:tc>
        <w:tc>
          <w:tcPr>
            <w:tcW w:type="dxa" w:w="5040"/>
            <w:vAlign w:val="center"/>
          </w:tcPr>
          <w:p>
            <w:r>
              <w:t>Duplicate files, malformed rows, missing store identifiers, inconsistent date formats.</w:t>
            </w:r>
          </w:p>
        </w:tc>
      </w:tr>
      <w:tr>
        <w:tc>
          <w:tcPr>
            <w:tcW w:type="dxa" w:w="5040"/>
            <w:vAlign w:val="center"/>
          </w:tcPr>
          <w:p>
            <w:r>
              <w:t>Product API</w:t>
            </w:r>
          </w:p>
        </w:tc>
        <w:tc>
          <w:tcPr>
            <w:tcW w:type="dxa" w:w="5040"/>
            <w:vAlign w:val="center"/>
          </w:tcPr>
          <w:p>
            <w:r>
              <w:t>Unavailable endpoint, pagination issues, missing prices, unexpected schema changes.</w:t>
            </w:r>
          </w:p>
        </w:tc>
      </w:tr>
      <w:tr>
        <w:tc>
          <w:tcPr>
            <w:tcW w:type="dxa" w:w="5040"/>
            <w:vAlign w:val="center"/>
          </w:tcPr>
          <w:p>
            <w:r>
              <w:t>Inventory</w:t>
            </w:r>
          </w:p>
        </w:tc>
        <w:tc>
          <w:tcPr>
            <w:tcW w:type="dxa" w:w="5040"/>
            <w:vAlign w:val="center"/>
          </w:tcPr>
          <w:p>
            <w:r>
              <w:t>Duplicate movements, invalid product IDs, negative or inconsistent stock values.</w:t>
            </w:r>
          </w:p>
        </w:tc>
      </w:tr>
      <w:tr>
        <w:tc>
          <w:tcPr>
            <w:tcW w:type="dxa" w:w="5040"/>
            <w:vAlign w:val="center"/>
          </w:tcPr>
          <w:p>
            <w:r>
              <w:t>Supplier</w:t>
            </w:r>
          </w:p>
        </w:tc>
        <w:tc>
          <w:tcPr>
            <w:tcW w:type="dxa" w:w="5040"/>
            <w:vAlign w:val="center"/>
          </w:tcPr>
          <w:p>
            <w:r>
              <w:t>Malformed files, missing columns, inconsistent supplier/product codes.</w:t>
            </w:r>
          </w:p>
        </w:tc>
      </w:tr>
      <w:tr>
        <w:tc>
          <w:tcPr>
            <w:tcW w:type="dxa" w:w="5040"/>
            <w:vAlign w:val="center"/>
          </w:tcPr>
          <w:p>
            <w:r>
              <w:t>Payments</w:t>
            </w:r>
          </w:p>
        </w:tc>
        <w:tc>
          <w:tcPr>
            <w:tcW w:type="dxa" w:w="5040"/>
            <w:vAlign w:val="center"/>
          </w:tcPr>
          <w:p>
            <w:r>
              <w:t>Duplicate events, invalid status values, missing order references, reconciliation differences.</w:t>
            </w:r>
          </w:p>
        </w:tc>
      </w:tr>
      <w:tr>
        <w:tc>
          <w:tcPr>
            <w:tcW w:type="dxa" w:w="5040"/>
            <w:vAlign w:val="center"/>
          </w:tcPr>
          <w:p>
            <w:r>
              <w:t>Returns</w:t>
            </w:r>
          </w:p>
        </w:tc>
        <w:tc>
          <w:tcPr>
            <w:tcW w:type="dxa" w:w="5040"/>
            <w:vAlign w:val="center"/>
          </w:tcPr>
          <w:p>
            <w:r>
              <w:t>Unknown order/product IDs, invalid return dates, inconsistent reason codes.</w:t>
            </w:r>
          </w:p>
        </w:tc>
      </w:tr>
    </w:tbl>
    <w:p>
      <w:pPr>
        <w:pStyle w:val="Heading1"/>
      </w:pPr>
      <w:r>
        <w:t>5. Sensitive Data Classification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Domain</w:t>
            </w:r>
          </w:p>
        </w:tc>
        <w:tc>
          <w:tcPr>
            <w:tcW w:type="dxa" w:w="3360"/>
            <w:shd w:fill="D9EAF7"/>
            <w:vAlign w:val="center"/>
          </w:tcPr>
          <w:p>
            <w:r>
              <w:rPr>
                <w:b/>
              </w:rPr>
              <w:t>Example Fields</w:t>
            </w:r>
          </w:p>
        </w:tc>
        <w:tc>
          <w:tcPr>
            <w:tcW w:type="dxa" w:w="3360"/>
            <w:shd w:fill="D9EAF7"/>
            <w:vAlign w:val="center"/>
          </w:tcPr>
          <w:p>
            <w:r>
              <w:rPr>
                <w:b/>
              </w:rPr>
              <w:t>Initial Classification</w:t>
            </w:r>
          </w:p>
        </w:tc>
      </w:tr>
      <w:tr>
        <w:tc>
          <w:tcPr>
            <w:tcW w:type="dxa" w:w="3360"/>
            <w:vAlign w:val="center"/>
          </w:tcPr>
          <w:p>
            <w:r>
              <w:t>Customer</w:t>
            </w:r>
          </w:p>
        </w:tc>
        <w:tc>
          <w:tcPr>
            <w:tcW w:type="dxa" w:w="3360"/>
            <w:vAlign w:val="center"/>
          </w:tcPr>
          <w:p>
            <w:r>
              <w:t>name, email, address, postcode, telephone</w:t>
            </w:r>
          </w:p>
        </w:tc>
        <w:tc>
          <w:tcPr>
            <w:tcW w:type="dxa" w:w="3360"/>
            <w:vAlign w:val="center"/>
          </w:tcPr>
          <w:p>
            <w:r>
              <w:t>PII — restricted/protected</w:t>
            </w:r>
          </w:p>
        </w:tc>
      </w:tr>
      <w:tr>
        <w:tc>
          <w:tcPr>
            <w:tcW w:type="dxa" w:w="3360"/>
            <w:vAlign w:val="center"/>
          </w:tcPr>
          <w:p>
            <w:r>
              <w:t>Commerce</w:t>
            </w:r>
          </w:p>
        </w:tc>
        <w:tc>
          <w:tcPr>
            <w:tcW w:type="dxa" w:w="3360"/>
            <w:vAlign w:val="center"/>
          </w:tcPr>
          <w:p>
            <w:r>
              <w:t>customer_id, order_id, order values</w:t>
            </w:r>
          </w:p>
        </w:tc>
        <w:tc>
          <w:tcPr>
            <w:tcW w:type="dxa" w:w="3360"/>
            <w:vAlign w:val="center"/>
          </w:tcPr>
          <w:p>
            <w:r>
              <w:t>Business data; customer-linked fields require controlled handling</w:t>
            </w:r>
          </w:p>
        </w:tc>
      </w:tr>
      <w:tr>
        <w:tc>
          <w:tcPr>
            <w:tcW w:type="dxa" w:w="3360"/>
            <w:vAlign w:val="center"/>
          </w:tcPr>
          <w:p>
            <w:r>
              <w:t>Payments</w:t>
            </w:r>
          </w:p>
        </w:tc>
        <w:tc>
          <w:tcPr>
            <w:tcW w:type="dxa" w:w="3360"/>
            <w:vAlign w:val="center"/>
          </w:tcPr>
          <w:p>
            <w:r>
              <w:t>payment identifiers/status/refunds</w:t>
            </w:r>
          </w:p>
        </w:tc>
        <w:tc>
          <w:tcPr>
            <w:tcW w:type="dxa" w:w="3360"/>
            <w:vAlign w:val="center"/>
          </w:tcPr>
          <w:p>
            <w:r>
              <w:t>Sensitive operational/financial data; no real card data will be generated</w:t>
            </w:r>
          </w:p>
        </w:tc>
      </w:tr>
      <w:tr>
        <w:tc>
          <w:tcPr>
            <w:tcW w:type="dxa" w:w="3360"/>
            <w:vAlign w:val="center"/>
          </w:tcPr>
          <w:p>
            <w:r>
              <w:t>Product / Supplier</w:t>
            </w:r>
          </w:p>
        </w:tc>
        <w:tc>
          <w:tcPr>
            <w:tcW w:type="dxa" w:w="3360"/>
            <w:vAlign w:val="center"/>
          </w:tcPr>
          <w:p>
            <w:r>
              <w:t>product and supplier attributes</w:t>
            </w:r>
          </w:p>
        </w:tc>
        <w:tc>
          <w:tcPr>
            <w:tcW w:type="dxa" w:w="3360"/>
            <w:vAlign w:val="center"/>
          </w:tcPr>
          <w:p>
            <w:r>
              <w:t>Primarily business/operational data</w:t>
            </w:r>
          </w:p>
        </w:tc>
      </w:tr>
      <w:tr>
        <w:tc>
          <w:tcPr>
            <w:tcW w:type="dxa" w:w="3360"/>
            <w:vAlign w:val="center"/>
          </w:tcPr>
          <w:p>
            <w:r>
              <w:t>Inventory / POS</w:t>
            </w:r>
          </w:p>
        </w:tc>
        <w:tc>
          <w:tcPr>
            <w:tcW w:type="dxa" w:w="3360"/>
            <w:vAlign w:val="center"/>
          </w:tcPr>
          <w:p>
            <w:r>
              <w:t>stock and store transaction attributes</w:t>
            </w:r>
          </w:p>
        </w:tc>
        <w:tc>
          <w:tcPr>
            <w:tcW w:type="dxa" w:w="3360"/>
            <w:vAlign w:val="center"/>
          </w:tcPr>
          <w:p>
            <w:r>
              <w:t>Operational business data</w:t>
            </w:r>
          </w:p>
        </w:tc>
      </w:tr>
    </w:tbl>
    <w:p>
      <w:pPr>
        <w:pStyle w:val="Heading1"/>
      </w:pPr>
      <w:r>
        <w:t>6. Data Generation Principle</w:t>
      </w:r>
    </w:p>
    <w:p>
      <w:r>
        <w:t>All development records will be synthetic. No real customer, payment or employer data is required for the project. Synthetic source data will intentionally include controlled quality defects so validation, quarantine, recovery and monitoring can be demonstrated.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