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Technical Architecture Document</w:t>
      </w:r>
    </w:p>
    <w:p>
      <w:pPr>
        <w:jc w:val="center"/>
      </w:pPr>
      <w:r>
        <w:rPr>
          <w:i/>
          <w:sz w:val="22"/>
        </w:rPr>
        <w:t>05_technical_architecture.docx</w:t>
      </w:r>
    </w:p>
    <w:p>
      <w:pPr>
        <w:jc w:val="center"/>
      </w:pPr>
      <w:r>
        <w:rPr>
          <w:sz w:val="18"/>
        </w:rPr>
        <w:t>RetailFlow - Enterprise Data Engineering Platform | Phase 2</w:t>
      </w:r>
    </w:p>
    <w:p/>
    <w:p>
      <w:pPr>
        <w:pStyle w:val="Heading1"/>
      </w:pPr>
      <w:r>
        <w:t>1. Architecture Objective</w:t>
      </w:r>
    </w:p>
    <w:p>
      <w:r>
        <w:t>RetailFlow uses a layered, production-style data architecture that separates source ingestion, raw preservation, validation, transformation, analytical modelling and data consumption. The first implementation runs locally using open-source technologies while preserving a clear path to a later Microsoft Azure implementation.</w:t>
      </w:r>
    </w:p>
    <w:p>
      <w:pPr>
        <w:pStyle w:val="Heading1"/>
      </w:pPr>
      <w:r>
        <w:t>2. Architectural Principles</w:t>
      </w:r>
    </w:p>
    <w:p>
      <w:pPr>
        <w:pStyle w:val="ListBullet"/>
      </w:pPr>
      <w:r>
        <w:t>Separate operational source systems from analytical workloads.</w:t>
      </w:r>
    </w:p>
    <w:p>
      <w:pPr>
        <w:pStyle w:val="ListBullet"/>
      </w:pPr>
      <w:r>
        <w:t>Preserve raw source data before transformation so downstream datasets can be rebuilt.</w:t>
      </w:r>
    </w:p>
    <w:p>
      <w:pPr>
        <w:pStyle w:val="ListBullet"/>
      </w:pPr>
      <w:r>
        <w:t>Use Bronze, Silver and Gold layers to separate raw, technically trusted and business-ready data.</w:t>
      </w:r>
    </w:p>
    <w:p>
      <w:pPr>
        <w:pStyle w:val="ListBullet"/>
      </w:pPr>
      <w:r>
        <w:t>Prefer incremental processing over unnecessary full reloads.</w:t>
      </w:r>
    </w:p>
    <w:p>
      <w:pPr>
        <w:pStyle w:val="ListBullet"/>
      </w:pPr>
      <w:r>
        <w:t>Design pipeline operations to be rerunnable and idempotent.</w:t>
      </w:r>
    </w:p>
    <w:p>
      <w:pPr>
        <w:pStyle w:val="ListBullet"/>
      </w:pPr>
      <w:r>
        <w:t>Treat data quality, security, observability and recovery as platform capabilities rather than afterthoughts.</w:t>
      </w:r>
    </w:p>
    <w:p>
      <w:pPr>
        <w:pStyle w:val="ListBullet"/>
      </w:pPr>
      <w:r>
        <w:t>Keep transformations modular, testable and version controlled.</w:t>
      </w:r>
    </w:p>
    <w:p>
      <w:pPr>
        <w:pStyle w:val="ListBullet"/>
      </w:pPr>
      <w:r>
        <w:t>Separate orchestration from transformation logic.</w:t>
      </w:r>
    </w:p>
    <w:p>
      <w:pPr>
        <w:pStyle w:val="Heading1"/>
      </w:pPr>
      <w:r>
        <w:t>3.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Source databases</w:t>
            </w:r>
          </w:p>
        </w:tc>
        <w:tc>
          <w:tcPr>
            <w:tcW w:type="dxa" w:w="3408"/>
            <w:vAlign w:val="center"/>
          </w:tcPr>
          <w:p>
            <w:r>
              <w:t>PostgreSQL</w:t>
            </w:r>
          </w:p>
        </w:tc>
        <w:tc>
          <w:tcPr>
            <w:tcW w:type="dxa" w:w="3408"/>
            <w:vAlign w:val="center"/>
          </w:tcPr>
          <w:p>
            <w:r>
              <w:t>Simulate e-commerce and inventory transactional systems.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File/API sources</w:t>
            </w:r>
          </w:p>
        </w:tc>
        <w:tc>
          <w:tcPr>
            <w:tcW w:type="dxa" w:w="3408"/>
            <w:vAlign w:val="center"/>
          </w:tcPr>
          <w:p>
            <w:r>
              <w:t>CSV, JSON, REST</w:t>
            </w:r>
          </w:p>
        </w:tc>
        <w:tc>
          <w:tcPr>
            <w:tcW w:type="dxa" w:w="3408"/>
            <w:vAlign w:val="center"/>
          </w:tcPr>
          <w:p>
            <w:r>
              <w:t>Represent POS, supplier, return, payment and product feeds.</w:t>
            </w:r>
          </w:p>
        </w:tc>
      </w:tr>
      <w:tr>
        <w:tc>
          <w:tcPr>
            <w:tcW w:type="dxa" w:w="3408"/>
            <w:vAlign w:val="center"/>
          </w:tcPr>
          <w:p>
            <w:r>
              <w:t>Ingestion</w:t>
            </w:r>
          </w:p>
        </w:tc>
        <w:tc>
          <w:tcPr>
            <w:tcW w:type="dxa" w:w="3408"/>
            <w:vAlign w:val="center"/>
          </w:tcPr>
          <w:p>
            <w:r>
              <w:t>Python</w:t>
            </w:r>
          </w:p>
        </w:tc>
        <w:tc>
          <w:tcPr>
            <w:tcW w:type="dxa" w:w="3408"/>
            <w:vAlign w:val="center"/>
          </w:tcPr>
          <w:p>
            <w:r>
              <w:t>Extract batch/incremental data and attach ingestion metadata.</w:t>
            </w:r>
          </w:p>
        </w:tc>
      </w:tr>
      <w:tr>
        <w:tc>
          <w:tcPr>
            <w:tcW w:type="dxa" w:w="3408"/>
            <w:vAlign w:val="center"/>
          </w:tcPr>
          <w:p>
            <w:r>
              <w:t>Bronze</w:t>
            </w:r>
          </w:p>
        </w:tc>
        <w:tc>
          <w:tcPr>
            <w:tcW w:type="dxa" w:w="3408"/>
            <w:vAlign w:val="center"/>
          </w:tcPr>
          <w:p>
            <w:r>
              <w:t>Filesystem + Parquet/raw formats</w:t>
            </w:r>
          </w:p>
        </w:tc>
        <w:tc>
          <w:tcPr>
            <w:tcW w:type="dxa" w:w="3408"/>
            <w:vAlign w:val="center"/>
          </w:tcPr>
          <w:p>
            <w:r>
              <w:t>Preserve source-aligned immutable data.</w:t>
            </w:r>
          </w:p>
        </w:tc>
      </w:tr>
      <w:tr>
        <w:tc>
          <w:tcPr>
            <w:tcW w:type="dxa" w:w="3408"/>
            <w:vAlign w:val="center"/>
          </w:tcPr>
          <w:p>
            <w:r>
              <w:t>Quality gate</w:t>
            </w:r>
          </w:p>
        </w:tc>
        <w:tc>
          <w:tcPr>
            <w:tcW w:type="dxa" w:w="3408"/>
            <w:vAlign w:val="center"/>
          </w:tcPr>
          <w:p>
            <w:r>
              <w:t>Python validation + reconciliation</w:t>
            </w:r>
          </w:p>
        </w:tc>
        <w:tc>
          <w:tcPr>
            <w:tcW w:type="dxa" w:w="3408"/>
            <w:vAlign w:val="center"/>
          </w:tcPr>
          <w:p>
            <w:r>
              <w:t>Validate schemas, records and batch-level controls.</w:t>
            </w:r>
          </w:p>
        </w:tc>
      </w:tr>
      <w:tr>
        <w:tc>
          <w:tcPr>
            <w:tcW w:type="dxa" w:w="3408"/>
            <w:vAlign w:val="center"/>
          </w:tcPr>
          <w:p>
            <w:r>
              <w:t>Quarantine</w:t>
            </w:r>
          </w:p>
        </w:tc>
        <w:tc>
          <w:tcPr>
            <w:tcW w:type="dxa" w:w="3408"/>
            <w:vAlign w:val="center"/>
          </w:tcPr>
          <w:p>
            <w:r>
              <w:t>Filesystem/tables</w:t>
            </w:r>
          </w:p>
        </w:tc>
        <w:tc>
          <w:tcPr>
            <w:tcW w:type="dxa" w:w="3408"/>
            <w:vAlign w:val="center"/>
          </w:tcPr>
          <w:p>
            <w:r>
              <w:t>Retain rejected records and failure reasons.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Silver</w:t>
            </w:r>
          </w:p>
        </w:tc>
        <w:tc>
          <w:tcPr>
            <w:tcW w:type="dxa" w:w="3408"/>
            <w:vAlign w:val="center"/>
          </w:tcPr>
          <w:p>
            <w:r>
              <w:t>Parquet / structured datasets</w:t>
            </w:r>
          </w:p>
        </w:tc>
        <w:tc>
          <w:tcPr>
            <w:tcW w:type="dxa" w:w="3408"/>
            <w:vAlign w:val="center"/>
          </w:tcPr>
          <w:p>
            <w:r>
              <w:t>Clean, standardise and deduplicate data.</w:t>
            </w:r>
          </w:p>
        </w:tc>
      </w:tr>
      <w:tr>
        <w:tc>
          <w:tcPr>
            <w:tcW w:type="dxa" w:w="3408"/>
            <w:vAlign w:val="center"/>
          </w:tcPr>
          <w:p>
            <w:r>
              <w:t>Transformation</w:t>
            </w:r>
          </w:p>
        </w:tc>
        <w:tc>
          <w:tcPr>
            <w:tcW w:type="dxa" w:w="3408"/>
            <w:vAlign w:val="center"/>
          </w:tcPr>
          <w:p>
            <w:r>
              <w:t>dbt Core</w:t>
            </w:r>
          </w:p>
        </w:tc>
        <w:tc>
          <w:tcPr>
            <w:tcW w:type="dxa" w:w="3408"/>
            <w:vAlign w:val="center"/>
          </w:tcPr>
          <w:p>
            <w:r>
              <w:t>Build modular transformations, tests and documentation.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Gold</w:t>
            </w:r>
          </w:p>
        </w:tc>
        <w:tc>
          <w:tcPr>
            <w:tcW w:type="dxa" w:w="3408"/>
            <w:vAlign w:val="center"/>
          </w:tcPr>
          <w:p>
            <w:r>
              <w:t>Curated datasets</w:t>
            </w:r>
          </w:p>
        </w:tc>
        <w:tc>
          <w:tcPr>
            <w:tcW w:type="dxa" w:w="3408"/>
            <w:vAlign w:val="center"/>
          </w:tcPr>
          <w:p>
            <w:r>
              <w:t>Represent business-ready data products.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Warehouse</w:t>
            </w:r>
          </w:p>
        </w:tc>
        <w:tc>
          <w:tcPr>
            <w:tcW w:type="dxa" w:w="3408"/>
            <w:vAlign w:val="center"/>
          </w:tcPr>
          <w:p>
            <w:r>
              <w:t>PostgreSQL</w:t>
            </w:r>
          </w:p>
        </w:tc>
        <w:tc>
          <w:tcPr>
            <w:tcW w:type="dxa" w:w="3408"/>
            <w:vAlign w:val="center"/>
          </w:tcPr>
          <w:p>
            <w:r>
              <w:t>Store facts, dimensions and analytical marts.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Orchestration</w:t>
            </w:r>
          </w:p>
        </w:tc>
        <w:tc>
          <w:tcPr>
            <w:tcW w:type="dxa" w:w="3408"/>
            <w:vAlign w:val="center"/>
          </w:tcPr>
          <w:p>
            <w:r>
              <w:t>Apache Airflow</w:t>
            </w:r>
          </w:p>
        </w:tc>
        <w:tc>
          <w:tcPr>
            <w:tcW w:type="dxa" w:w="3408"/>
            <w:vAlign w:val="center"/>
          </w:tcPr>
          <w:p>
            <w:r>
              <w:t>Schedule dependencies, retries, backfills and pipeline runs.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Serving</w:t>
            </w:r>
          </w:p>
        </w:tc>
        <w:tc>
          <w:tcPr>
            <w:tcW w:type="dxa" w:w="3408"/>
            <w:vAlign w:val="center"/>
          </w:tcPr>
          <w:p>
            <w:r>
              <w:t>Power BI + FastAPI</w:t>
            </w:r>
          </w:p>
        </w:tc>
        <w:tc>
          <w:tcPr>
            <w:tcW w:type="dxa" w:w="3408"/>
            <w:vAlign w:val="center"/>
          </w:tcPr>
          <w:p>
            <w:r>
              <w:t>Provide authorised analytical and application access.</w:t>
            </w:r>
          </w:p>
        </w:tc>
      </w:tr>
      <w:tr>
        <w:tc>
          <w:tcPr>
            <w:tcW w:type="dxa" w:w="3408"/>
            <w:vAlign w:val="center"/>
          </w:tcPr>
          <w:p>
            <w:r>
              <w:t>Engineering</w:t>
            </w:r>
          </w:p>
        </w:tc>
        <w:tc>
          <w:tcPr>
            <w:tcW w:type="dxa" w:w="3408"/>
            <w:vAlign w:val="center"/>
          </w:tcPr>
          <w:p>
            <w:r>
              <w:t>Docker, pytest, GitHub Actions</w:t>
            </w:r>
          </w:p>
        </w:tc>
        <w:tc>
          <w:tcPr>
            <w:tcW w:type="dxa" w:w="3408"/>
            <w:vAlign w:val="center"/>
          </w:tcPr>
          <w:p>
            <w:r>
              <w:t>Reproducibility, testing and CI/CD.</w:t>
            </w:r>
          </w:p>
        </w:tc>
      </w:tr>
    </w:tbl>
    <w:p>
      <w:pPr>
        <w:pStyle w:val="Heading1"/>
      </w:pPr>
      <w:r>
        <w:t>4.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69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tailflow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69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Data Layer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3408"/>
            <w:vAlign w:val="center"/>
          </w:tcPr>
          <w:p>
            <w:r>
              <w:t>Bronze</w:t>
            </w:r>
          </w:p>
        </w:tc>
        <w:tc>
          <w:tcPr>
            <w:tcW w:type="dxa" w:w="3408"/>
            <w:vAlign w:val="center"/>
          </w:tcPr>
          <w:p>
            <w:r>
              <w:t>Raw preservation and auditability</w:t>
            </w:r>
          </w:p>
        </w:tc>
        <w:tc>
          <w:tcPr>
            <w:tcW w:type="dxa" w:w="3408"/>
            <w:vAlign w:val="center"/>
          </w:tcPr>
          <w:p>
            <w:r>
              <w:t>Source extracts, API responses, files, ingestion metadata.</w:t>
            </w:r>
          </w:p>
        </w:tc>
      </w:tr>
      <w:tr>
        <w:tc>
          <w:tcPr>
            <w:tcW w:type="dxa" w:w="3408"/>
            <w:vAlign w:val="center"/>
          </w:tcPr>
          <w:p>
            <w:r>
              <w:t>Silver</w:t>
            </w:r>
          </w:p>
        </w:tc>
        <w:tc>
          <w:tcPr>
            <w:tcW w:type="dxa" w:w="3408"/>
            <w:vAlign w:val="center"/>
          </w:tcPr>
          <w:p>
            <w:r>
              <w:t>Technically trusted data</w:t>
            </w:r>
          </w:p>
        </w:tc>
        <w:tc>
          <w:tcPr>
            <w:tcW w:type="dxa" w:w="3408"/>
            <w:vAlign w:val="center"/>
          </w:tcPr>
          <w:p>
            <w:r>
              <w:t>Typed, standardised, deduplicated, validated entities.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Gold</w:t>
            </w:r>
          </w:p>
        </w:tc>
        <w:tc>
          <w:tcPr>
            <w:tcW w:type="dxa" w:w="3408"/>
            <w:vAlign w:val="center"/>
          </w:tcPr>
          <w:p>
            <w:r>
              <w:t>Business-ready products</w:t>
            </w:r>
          </w:p>
        </w:tc>
        <w:tc>
          <w:tcPr>
            <w:tcW w:type="dxa" w:w="3408"/>
            <w:vAlign w:val="center"/>
          </w:tcPr>
          <w:p>
            <w:r>
              <w:t>daily_sales, customer_sales, product_performance, inventory_position.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Warehouse</w:t>
            </w:r>
          </w:p>
        </w:tc>
        <w:tc>
          <w:tcPr>
            <w:tcW w:type="dxa" w:w="3408"/>
            <w:vAlign w:val="center"/>
          </w:tcPr>
          <w:p>
            <w:r>
              <w:t>Analytical modelling</w:t>
            </w:r>
          </w:p>
        </w:tc>
        <w:tc>
          <w:tcPr>
            <w:tcW w:type="dxa" w:w="3408"/>
            <w:vAlign w:val="center"/>
          </w:tcPr>
          <w:p>
            <w:r>
              <w:t>fact_sales, fact_inventory, fact_payments, fact_returns and dimensions.</w:t>
            </w:r>
          </w:p>
        </w:tc>
      </w:tr>
    </w:tbl>
    <w:p>
      <w:pPr>
        <w:pStyle w:val="Heading1"/>
      </w:pPr>
      <w:r>
        <w:t>6. Warehouse Pattern</w:t>
      </w:r>
    </w:p>
    <w:p>
      <w:r>
        <w:t>The analytical warehouse will use a star-schema-oriented dimensional model. Core facts will include sales, inventory, payments and returns. Core dimensions will include customer, product, store, supplier, date and channel. Historical attributes that require point-in-time analysis will use Slowly Changing Dimension techniques, including SCD Type 2 where appropriate.</w:t>
      </w:r>
    </w:p>
    <w:p>
      <w:pPr>
        <w:pStyle w:val="Heading1"/>
      </w:pPr>
      <w:r>
        <w:t>7. Cloud Readiness</w:t>
      </w:r>
    </w:p>
    <w:p>
      <w:r>
        <w:t>The local implementation is intentionally cloud-ready but not presented as a one-to-one Azure deployment. A later phase will select Azure services for storage, orchestration, secrets, monitoring and analytics based on the completed local architecture and project constraints.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