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Data Flow &amp; Pipeline Design</w:t>
      </w:r>
    </w:p>
    <w:p>
      <w:pPr>
        <w:jc w:val="center"/>
      </w:pPr>
      <w:r>
        <w:rPr>
          <w:i/>
          <w:sz w:val="22"/>
        </w:rPr>
        <w:t>07_data_flow_and_pipeline_design.docx</w:t>
      </w:r>
    </w:p>
    <w:p>
      <w:pPr>
        <w:jc w:val="center"/>
      </w:pPr>
      <w:r>
        <w:rPr>
          <w:sz w:val="18"/>
        </w:rPr>
        <w:t>RetailFlow - Enterprise Data Engineering Platform | Phase 2</w:t>
      </w:r>
    </w:p>
    <w:p/>
    <w:p>
      <w:pPr>
        <w:pStyle w:val="Heading1"/>
      </w:pPr>
      <w:r>
        <w:t>1. Daily Pipeline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Check source availability and required inputs</w:t>
            </w:r>
          </w:p>
        </w:tc>
        <w:tc>
          <w:tcPr>
            <w:tcW w:type="dxa" w:w="3408"/>
            <w:vAlign w:val="center"/>
          </w:tcPr>
          <w:p>
            <w:r>
              <w:t>Source readiness 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Extract database, API and file data</w:t>
            </w:r>
          </w:p>
        </w:tc>
        <w:tc>
          <w:tcPr>
            <w:tcW w:type="dxa" w:w="3408"/>
            <w:vAlign w:val="center"/>
          </w:tcPr>
          <w:p>
            <w:r>
              <w:t>Source-aligned batches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Attach ingestion metadata</w:t>
            </w:r>
          </w:p>
        </w:tc>
        <w:tc>
          <w:tcPr>
            <w:tcW w:type="dxa" w:w="3408"/>
            <w:vAlign w:val="center"/>
          </w:tcPr>
          <w:p>
            <w:r>
              <w:t>batch_id, run_id, source, timestamps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Write Bronze data</w:t>
            </w:r>
          </w:p>
        </w:tc>
        <w:tc>
          <w:tcPr>
            <w:tcW w:type="dxa" w:w="3408"/>
            <w:vAlign w:val="center"/>
          </w:tcPr>
          <w:p>
            <w:r>
              <w:t>Recoverable raw datasets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Validate schema and records</w:t>
            </w:r>
          </w:p>
        </w:tc>
        <w:tc>
          <w:tcPr>
            <w:tcW w:type="dxa" w:w="3408"/>
            <w:vAlign w:val="center"/>
          </w:tcPr>
          <w:p>
            <w:r>
              <w:t>Pass/fail quality results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Quarantine invalid records</w:t>
            </w:r>
          </w:p>
        </w:tc>
        <w:tc>
          <w:tcPr>
            <w:tcW w:type="dxa" w:w="3408"/>
            <w:vAlign w:val="center"/>
          </w:tcPr>
          <w:p>
            <w:r>
              <w:t>Rejected data + failure reason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Create Silver datasets</w:t>
            </w:r>
          </w:p>
        </w:tc>
        <w:tc>
          <w:tcPr>
            <w:tcW w:type="dxa" w:w="3408"/>
            <w:vAlign w:val="center"/>
          </w:tcPr>
          <w:p>
            <w:r>
              <w:t>Cleaned and standardised entities</w:t>
            </w:r>
          </w:p>
        </w:tc>
      </w:tr>
      <w:tr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Execute dbt transformations</w:t>
            </w:r>
          </w:p>
        </w:tc>
        <w:tc>
          <w:tcPr>
            <w:tcW w:type="dxa" w:w="3408"/>
            <w:vAlign w:val="center"/>
          </w:tcPr>
          <w:p>
            <w:r>
              <w:t>Gold models and warehouse models</w:t>
            </w:r>
          </w:p>
        </w:tc>
      </w:tr>
      <w:tr>
        <w:tc>
          <w:tcPr>
            <w:tcW w:type="dxa" w:w="3408"/>
            <w:vAlign w:val="center"/>
          </w:tcPr>
          <w:p>
            <w:r>
              <w:t>9</w:t>
            </w:r>
          </w:p>
        </w:tc>
        <w:tc>
          <w:tcPr>
            <w:tcW w:type="dxa" w:w="3408"/>
            <w:vAlign w:val="center"/>
          </w:tcPr>
          <w:p>
            <w:r>
              <w:t>Load/merge warehouse targets</w:t>
            </w:r>
          </w:p>
        </w:tc>
        <w:tc>
          <w:tcPr>
            <w:tcW w:type="dxa" w:w="3408"/>
            <w:vAlign w:val="center"/>
          </w:tcPr>
          <w:p>
            <w:r>
              <w:t>Facts, dimensions and marts</w:t>
            </w:r>
          </w:p>
        </w:tc>
      </w:tr>
      <w:tr>
        <w:tc>
          <w:tcPr>
            <w:tcW w:type="dxa" w:w="3408"/>
            <w:vAlign w:val="center"/>
          </w:tcPr>
          <w:p>
            <w:r>
              <w:t>10</w:t>
            </w:r>
          </w:p>
        </w:tc>
        <w:tc>
          <w:tcPr>
            <w:tcW w:type="dxa" w:w="3408"/>
            <w:vAlign w:val="center"/>
          </w:tcPr>
          <w:p>
            <w:r>
              <w:t>Execute dbt/data reconciliation tests</w:t>
            </w:r>
          </w:p>
        </w:tc>
        <w:tc>
          <w:tcPr>
            <w:tcW w:type="dxa" w:w="3408"/>
            <w:vAlign w:val="center"/>
          </w:tcPr>
          <w:p>
            <w:r>
              <w:t>Quality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11</w:t>
            </w:r>
          </w:p>
        </w:tc>
        <w:tc>
          <w:tcPr>
            <w:tcW w:type="dxa" w:w="3408"/>
            <w:vAlign w:val="center"/>
          </w:tcPr>
          <w:p>
            <w:r>
              <w:t>Publish trusted outputs</w:t>
            </w:r>
          </w:p>
        </w:tc>
        <w:tc>
          <w:tcPr>
            <w:tcW w:type="dxa" w:w="3408"/>
            <w:vAlign w:val="center"/>
          </w:tcPr>
          <w:p>
            <w:r>
              <w:t>Power BI/API-ready datasets</w:t>
            </w:r>
          </w:p>
        </w:tc>
      </w:tr>
      <w:tr>
        <w:tc>
          <w:tcPr>
            <w:tcW w:type="dxa" w:w="3408"/>
            <w:vAlign w:val="center"/>
          </w:tcPr>
          <w:p>
            <w:r>
              <w:t>12</w:t>
            </w:r>
          </w:p>
        </w:tc>
        <w:tc>
          <w:tcPr>
            <w:tcW w:type="dxa" w:w="3408"/>
            <w:vAlign w:val="center"/>
          </w:tcPr>
          <w:p>
            <w:r>
              <w:t>Record metrics and completion status</w:t>
            </w:r>
          </w:p>
        </w:tc>
        <w:tc>
          <w:tcPr>
            <w:tcW w:type="dxa" w:w="3408"/>
            <w:vAlign w:val="center"/>
          </w:tcPr>
          <w:p>
            <w:r>
              <w:t>Monitoring and operational metadata</w:t>
            </w:r>
          </w:p>
        </w:tc>
      </w:tr>
    </w:tbl>
    <w:p>
      <w:pPr>
        <w:pStyle w:val="Heading1"/>
      </w:pPr>
      <w:r>
        <w:t>2. Incremental Processing</w:t>
      </w:r>
    </w:p>
    <w:p>
      <w:r>
        <w:t>The platform will avoid full reloads where source characteristics allow. Watermarks and updated timestamps will identify new or changed records. Target tables will use controlled merge/upsert behaviour, deduplication and business keys. dbt incremental models will be introduced where appropriate.</w:t>
      </w:r>
    </w:p>
    <w:p>
      <w:pPr>
        <w:pStyle w:val="Heading1"/>
      </w:pPr>
      <w:r>
        <w:t>3. Pipeline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source_name</w:t>
            </w:r>
          </w:p>
        </w:tc>
        <w:tc>
          <w:tcPr>
            <w:tcW w:type="dxa" w:w="5112"/>
            <w:vAlign w:val="center"/>
          </w:tcPr>
          <w:p>
            <w:r>
              <w:t>Identifies the pipeline/source.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last_successful_watermark</w:t>
            </w:r>
          </w:p>
        </w:tc>
        <w:tc>
          <w:tcPr>
            <w:tcW w:type="dxa" w:w="5112"/>
            <w:vAlign w:val="center"/>
          </w:tcPr>
          <w:p>
            <w:r>
              <w:t>Stores the last committed source boundary.</w:t>
            </w:r>
          </w:p>
        </w:tc>
      </w:tr>
      <w:tr>
        <w:tc>
          <w:tcPr>
            <w:tcW w:type="dxa" w:w="5112"/>
            <w:vAlign w:val="center"/>
          </w:tcPr>
          <w:p>
            <w:r>
              <w:t>last_successful_run_id</w:t>
            </w:r>
          </w:p>
        </w:tc>
        <w:tc>
          <w:tcPr>
            <w:tcW w:type="dxa" w:w="5112"/>
            <w:vAlign w:val="center"/>
          </w:tcPr>
          <w:p>
            <w:r>
              <w:t>Links state to a successful execution.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updated_at</w:t>
            </w:r>
          </w:p>
        </w:tc>
        <w:tc>
          <w:tcPr>
            <w:tcW w:type="dxa" w:w="5112"/>
            <w:vAlign w:val="center"/>
          </w:tcPr>
          <w:p>
            <w:r>
              <w:t>Records when pipeline state changed.</w:t>
            </w:r>
          </w:p>
        </w:tc>
      </w:tr>
    </w:tbl>
    <w:p>
      <w:pPr>
        <w:pStyle w:val="Heading1"/>
      </w:pPr>
      <w:r>
        <w:t>4. Idempotency</w:t>
      </w:r>
    </w:p>
    <w:p>
      <w:r>
        <w:t>A rerun of the same logical input must not create duplicate trusted records. Batch identifiers, stable business keys, merge/upsert rules and transactional state updates will be used so that pipeline recovery produces a consistent target state.</w:t>
      </w:r>
    </w:p>
    <w:p>
      <w:pPr>
        <w:pStyle w:val="Heading1"/>
      </w:pPr>
      <w:r>
        <w:t>5. Data Quality and Reconciliation</w:t>
      </w:r>
    </w:p>
    <w:p>
      <w:pPr>
        <w:pStyle w:val="ListBullet"/>
      </w:pPr>
      <w:r>
        <w:t>Schema validation before trusted processing.</w:t>
      </w:r>
    </w:p>
    <w:p>
      <w:pPr>
        <w:pStyle w:val="ListBullet"/>
      </w:pPr>
      <w:r>
        <w:t>Required-field and data-type validation.</w:t>
      </w:r>
    </w:p>
    <w:p>
      <w:pPr>
        <w:pStyle w:val="ListBullet"/>
      </w:pPr>
      <w:r>
        <w:t>Uniqueness and duplicate detection.</w:t>
      </w:r>
    </w:p>
    <w:p>
      <w:pPr>
        <w:pStyle w:val="ListBullet"/>
      </w:pPr>
      <w:r>
        <w:t>Referential integrity checks.</w:t>
      </w:r>
    </w:p>
    <w:p>
      <w:pPr>
        <w:pStyle w:val="ListBullet"/>
      </w:pPr>
      <w:r>
        <w:t>Accepted-value and range checks.</w:t>
      </w:r>
    </w:p>
    <w:p>
      <w:pPr>
        <w:pStyle w:val="ListBullet"/>
      </w:pPr>
      <w:r>
        <w:t>Freshness checks.</w:t>
      </w:r>
    </w:p>
    <w:p>
      <w:pPr>
        <w:pStyle w:val="ListBullet"/>
      </w:pPr>
      <w:r>
        <w:t>Source-to-target record-count reconciliation.</w:t>
      </w:r>
    </w:p>
    <w:p>
      <w:pPr>
        <w:pStyle w:val="ListBullet"/>
      </w:pPr>
      <w:r>
        <w:t>Business reconciliation such as order-total consistency.</w:t>
      </w:r>
    </w:p>
    <w:p>
      <w:pPr>
        <w:pStyle w:val="Heading1"/>
      </w:pPr>
      <w:r>
        <w:t>6. Failure and Recovery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Design Response</w:t>
            </w:r>
          </w:p>
        </w:tc>
      </w:tr>
      <w:tr>
        <w:tc>
          <w:tcPr>
            <w:tcW w:type="dxa" w:w="5112"/>
            <w:vAlign w:val="center"/>
          </w:tcPr>
          <w:p>
            <w:r>
              <w:t>Temporary API/database outage</w:t>
            </w:r>
          </w:p>
        </w:tc>
        <w:tc>
          <w:tcPr>
            <w:tcW w:type="dxa" w:w="5112"/>
            <w:vAlign w:val="center"/>
          </w:tcPr>
          <w:p>
            <w:r>
              <w:t>Airflow retry with bounded retry policy.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Malformed file/schema change</w:t>
            </w:r>
          </w:p>
        </w:tc>
        <w:tc>
          <w:tcPr>
            <w:tcW w:type="dxa" w:w="5112"/>
            <w:vAlign w:val="center"/>
          </w:tcPr>
          <w:p>
            <w:r>
              <w:t>Fail validation and quarantine or stop affected path.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Bad individual records</w:t>
            </w:r>
          </w:p>
        </w:tc>
        <w:tc>
          <w:tcPr>
            <w:tcW w:type="dxa" w:w="5112"/>
            <w:vAlign w:val="center"/>
          </w:tcPr>
          <w:p>
            <w:r>
              <w:t>Quarantine records while preserving quality evidence.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Duplicate batch</w:t>
            </w:r>
          </w:p>
        </w:tc>
        <w:tc>
          <w:tcPr>
            <w:tcW w:type="dxa" w:w="5112"/>
            <w:vAlign w:val="center"/>
          </w:tcPr>
          <w:p>
            <w:r>
              <w:t>Detect/reconcile and avoid duplicate trusted loads.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Mid-pipeline failure</w:t>
            </w:r>
          </w:p>
        </w:tc>
        <w:tc>
          <w:tcPr>
            <w:tcW w:type="dxa" w:w="5112"/>
            <w:vAlign w:val="center"/>
          </w:tcPr>
          <w:p>
            <w:r>
              <w:t>Resume/rerun from durable Bronze/state boundaries.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Historical correction</w:t>
            </w:r>
          </w:p>
        </w:tc>
        <w:tc>
          <w:tcPr>
            <w:tcW w:type="dxa" w:w="5112"/>
            <w:vAlign w:val="center"/>
          </w:tcPr>
          <w:p>
            <w:r>
              <w:t>Run controlled backfill for specified dates/batches.</w:t>
            </w:r>
          </w:p>
        </w:tc>
      </w:tr>
    </w:tbl>
    <w:p>
      <w:pPr>
        <w:pStyle w:val="Heading1"/>
      </w:pPr>
      <w:r>
        <w:t>7. Target Schedule</w:t>
      </w:r>
    </w:p>
    <w:p>
      <w:r>
        <w:t>The planned daily workflow begins early enough to make required previous-day trusted data available before the 07:00 project target. Actual runtime will be measured during implementation rather than assumed.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