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Security, Governance &amp; Environment Design</w:t>
      </w:r>
    </w:p>
    <w:p>
      <w:pPr>
        <w:jc w:val="center"/>
      </w:pPr>
      <w:r>
        <w:rPr>
          <w:i/>
          <w:sz w:val="22"/>
        </w:rPr>
        <w:t>08_security_governance_and_environment_design.docx</w:t>
      </w:r>
    </w:p>
    <w:p>
      <w:pPr>
        <w:jc w:val="center"/>
      </w:pPr>
      <w:r>
        <w:rPr>
          <w:sz w:val="18"/>
        </w:rPr>
        <w:t>RetailFlow - Enterprise Data Engineering Platform | Phase 2</w:t>
      </w:r>
    </w:p>
    <w:p/>
    <w:p>
      <w:pPr>
        <w:pStyle w:val="Heading1"/>
      </w:pPr>
      <w:r>
        <w:t>1. Security Objectives</w:t>
      </w:r>
    </w:p>
    <w:p>
      <w:pPr>
        <w:pStyle w:val="ListBullet"/>
      </w:pPr>
      <w:r>
        <w:t>Prevent credentials and secrets from being stored in source control.</w:t>
      </w:r>
    </w:p>
    <w:p>
      <w:pPr>
        <w:pStyle w:val="ListBullet"/>
      </w:pPr>
      <w:r>
        <w:t>Identify and protect personally identifiable information.</w:t>
      </w:r>
    </w:p>
    <w:p>
      <w:pPr>
        <w:pStyle w:val="ListBullet"/>
      </w:pPr>
      <w:r>
        <w:t>Demonstrate least-privilege and role-appropriate access concepts.</w:t>
      </w:r>
    </w:p>
    <w:p>
      <w:pPr>
        <w:pStyle w:val="ListBullet"/>
      </w:pPr>
      <w:r>
        <w:t>Maintain traceability of data ingestion and processing.</w:t>
      </w:r>
    </w:p>
    <w:p>
      <w:pPr>
        <w:pStyle w:val="ListBullet"/>
      </w:pPr>
      <w:r>
        <w:t>Use synthetic data throughout development.</w:t>
      </w:r>
    </w:p>
    <w:p>
      <w:pPr>
        <w:pStyle w:val="ListBullet"/>
      </w:pPr>
      <w:r>
        <w:t>Support auditable handling, retention/deletion concepts and controlled downstream exposure.</w:t>
      </w:r>
    </w:p>
    <w:p>
      <w:pPr>
        <w:pStyle w:val="Heading1"/>
      </w:pPr>
      <w:r>
        <w:t>2. Data Classification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Classification</w:t>
            </w:r>
          </w:p>
        </w:tc>
        <w:tc>
          <w:tcPr>
            <w:tcW w:type="dxa" w:w="3408"/>
            <w:shd w:fill="D9EAF7"/>
          </w:tcPr>
          <w:p>
            <w:r>
              <w:rPr>
                <w:b/>
              </w:rPr>
              <w:t>Examples</w:t>
            </w:r>
          </w:p>
        </w:tc>
        <w:tc>
          <w:tcPr>
            <w:tcW w:type="dxa" w:w="3408"/>
            <w:shd w:fill="D9EAF7"/>
          </w:tcPr>
          <w:p>
            <w:r>
              <w:rPr>
                <w:b/>
              </w:rPr>
              <w:t>Treatment</w:t>
            </w:r>
          </w:p>
        </w:tc>
      </w:tr>
      <w:tr>
        <w:tc>
          <w:tcPr>
            <w:tcW w:type="dxa" w:w="3408"/>
            <w:vAlign w:val="center"/>
          </w:tcPr>
          <w:p>
            <w:r>
              <w:t>PII</w:t>
            </w:r>
          </w:p>
        </w:tc>
        <w:tc>
          <w:tcPr>
            <w:tcW w:type="dxa" w:w="3408"/>
            <w:vAlign w:val="center"/>
          </w:tcPr>
          <w:p>
            <w:r>
              <w:t>Name, email, address, postcode, telephone</w:t>
            </w:r>
          </w:p>
        </w:tc>
        <w:tc>
          <w:tcPr>
            <w:tcW w:type="dxa" w:w="3408"/>
            <w:vAlign w:val="center"/>
          </w:tcPr>
          <w:p>
            <w:r>
              <w:t>Restricted; mask/pseudonymise where appropriate.</w:t>
            </w:r>
          </w:p>
        </w:tc>
      </w:tr>
      <w:tr>
        <w:tc>
          <w:tcPr>
            <w:tcW w:type="dxa" w:w="3408"/>
            <w:vAlign w:val="center"/>
          </w:tcPr>
          <w:p>
            <w:r>
              <w:t>Sensitive operational/financial</w:t>
            </w:r>
          </w:p>
        </w:tc>
        <w:tc>
          <w:tcPr>
            <w:tcW w:type="dxa" w:w="3408"/>
            <w:vAlign w:val="center"/>
          </w:tcPr>
          <w:p>
            <w:r>
              <w:t>Payment identifiers, refunds, transaction status</w:t>
            </w:r>
          </w:p>
        </w:tc>
        <w:tc>
          <w:tcPr>
            <w:tcW w:type="dxa" w:w="3408"/>
            <w:vAlign w:val="center"/>
          </w:tcPr>
          <w:p>
            <w:r>
              <w:t>Controlled access; no real card data.</w:t>
            </w:r>
          </w:p>
        </w:tc>
      </w:tr>
      <w:tr>
        <w:tc>
          <w:tcPr>
            <w:tcW w:type="dxa" w:w="3408"/>
            <w:vAlign w:val="center"/>
          </w:tcPr>
          <w:p>
            <w:r>
              <w:t>Business operational</w:t>
            </w:r>
          </w:p>
        </w:tc>
        <w:tc>
          <w:tcPr>
            <w:tcW w:type="dxa" w:w="3408"/>
            <w:vAlign w:val="center"/>
          </w:tcPr>
          <w:p>
            <w:r>
              <w:t>Inventory, POS, supplier data</w:t>
            </w:r>
          </w:p>
        </w:tc>
        <w:tc>
          <w:tcPr>
            <w:tcW w:type="dxa" w:w="3408"/>
            <w:vAlign w:val="center"/>
          </w:tcPr>
          <w:p>
            <w:r>
              <w:t>Authorised business access.</w:t>
            </w:r>
          </w:p>
        </w:tc>
      </w:tr>
      <w:tr>
        <w:tc>
          <w:tcPr>
            <w:tcW w:type="dxa" w:w="3408"/>
            <w:vAlign w:val="center"/>
          </w:tcPr>
          <w:p>
            <w:r>
              <w:t>Public/non-sensitive reference</w:t>
            </w:r>
          </w:p>
        </w:tc>
        <w:tc>
          <w:tcPr>
            <w:tcW w:type="dxa" w:w="3408"/>
            <w:vAlign w:val="center"/>
          </w:tcPr>
          <w:p>
            <w:r>
              <w:t>Product/category reference values where applicable</w:t>
            </w:r>
          </w:p>
        </w:tc>
        <w:tc>
          <w:tcPr>
            <w:tcW w:type="dxa" w:w="3408"/>
            <w:vAlign w:val="center"/>
          </w:tcPr>
          <w:p>
            <w:r>
              <w:t>Standard platform controls.</w:t>
            </w:r>
          </w:p>
        </w:tc>
      </w:tr>
    </w:tbl>
    <w:p>
      <w:pPr>
        <w:pStyle w:val="Heading1"/>
      </w:pPr>
      <w:r>
        <w:t>3. Secrets Management</w:t>
      </w:r>
    </w:p>
    <w:p>
      <w:r>
        <w:t>Local credentials will be supplied through environment variables or controlled configuration. A .env.example file may document required variable names, while the actual .env file will be excluded using .gitignore. Azure Key Vault or an equivalent managed secret store will be considered during the cloud phase.</w:t>
      </w:r>
    </w:p>
    <w:p>
      <w:pPr>
        <w:pStyle w:val="Heading1"/>
      </w:pPr>
      <w:r>
        <w:t>4. Governance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Metadata</w:t>
            </w:r>
          </w:p>
        </w:tc>
        <w:tc>
          <w:tcPr>
            <w:tcW w:type="dxa" w:w="5112"/>
            <w:shd w:fill="D9EAF7"/>
          </w:tcPr>
          <w:p>
            <w:r>
              <w:rPr>
                <w:b/>
              </w:rPr>
              <w:t>Purpose</w:t>
            </w:r>
          </w:p>
        </w:tc>
      </w:tr>
      <w:tr>
        <w:tc>
          <w:tcPr>
            <w:tcW w:type="dxa" w:w="5112"/>
            <w:vAlign w:val="center"/>
          </w:tcPr>
          <w:p>
            <w:r>
              <w:t>source_system</w:t>
            </w:r>
          </w:p>
        </w:tc>
        <w:tc>
          <w:tcPr>
            <w:tcW w:type="dxa" w:w="5112"/>
            <w:vAlign w:val="center"/>
          </w:tcPr>
          <w:p>
            <w:r>
              <w:t>Origin of the data.</w:t>
            </w:r>
          </w:p>
        </w:tc>
      </w:tr>
      <w:tr>
        <w:tc>
          <w:tcPr>
            <w:tcW w:type="dxa" w:w="5112"/>
            <w:vAlign w:val="center"/>
          </w:tcPr>
          <w:p>
            <w:r>
              <w:t>ingestion_timestamp</w:t>
            </w:r>
          </w:p>
        </w:tc>
        <w:tc>
          <w:tcPr>
            <w:tcW w:type="dxa" w:w="5112"/>
            <w:vAlign w:val="center"/>
          </w:tcPr>
          <w:p>
            <w:r>
              <w:t>When the platform received/processed it.</w:t>
            </w:r>
          </w:p>
        </w:tc>
      </w:tr>
      <w:tr>
        <w:tc>
          <w:tcPr>
            <w:tcW w:type="dxa" w:w="5112"/>
            <w:vAlign w:val="center"/>
          </w:tcPr>
          <w:p>
            <w:r>
              <w:t>batch_id</w:t>
            </w:r>
          </w:p>
        </w:tc>
        <w:tc>
          <w:tcPr>
            <w:tcW w:type="dxa" w:w="5112"/>
            <w:vAlign w:val="center"/>
          </w:tcPr>
          <w:p>
            <w:r>
              <w:t>Logical ingestion batch.</w:t>
            </w:r>
          </w:p>
        </w:tc>
      </w:tr>
      <w:tr>
        <w:tc>
          <w:tcPr>
            <w:tcW w:type="dxa" w:w="5112"/>
            <w:vAlign w:val="center"/>
          </w:tcPr>
          <w:p>
            <w:r>
              <w:t>pipeline_run_id</w:t>
            </w:r>
          </w:p>
        </w:tc>
        <w:tc>
          <w:tcPr>
            <w:tcW w:type="dxa" w:w="5112"/>
            <w:vAlign w:val="center"/>
          </w:tcPr>
          <w:p>
            <w:r>
              <w:t>Execution that processed the data.</w:t>
            </w:r>
          </w:p>
        </w:tc>
      </w:tr>
      <w:tr>
        <w:tc>
          <w:tcPr>
            <w:tcW w:type="dxa" w:w="5112"/>
            <w:vAlign w:val="center"/>
          </w:tcPr>
          <w:p>
            <w:r>
              <w:t>file_name</w:t>
            </w:r>
          </w:p>
        </w:tc>
        <w:tc>
          <w:tcPr>
            <w:tcW w:type="dxa" w:w="5112"/>
            <w:vAlign w:val="center"/>
          </w:tcPr>
          <w:p>
            <w:r>
              <w:t>Original file where applicable.</w:t>
            </w:r>
          </w:p>
        </w:tc>
      </w:tr>
      <w:tr>
        <w:tc>
          <w:tcPr>
            <w:tcW w:type="dxa" w:w="5112"/>
            <w:vAlign w:val="center"/>
          </w:tcPr>
          <w:p>
            <w:r>
              <w:t>validation_status</w:t>
            </w:r>
          </w:p>
        </w:tc>
        <w:tc>
          <w:tcPr>
            <w:tcW w:type="dxa" w:w="5112"/>
            <w:vAlign w:val="center"/>
          </w:tcPr>
          <w:p>
            <w:r>
              <w:t>Whether required checks passed.</w:t>
            </w:r>
          </w:p>
        </w:tc>
      </w:tr>
      <w:tr>
        <w:tc>
          <w:tcPr>
            <w:tcW w:type="dxa" w:w="5112"/>
            <w:vAlign w:val="center"/>
          </w:tcPr>
          <w:p>
            <w:r>
              <w:t>failure_reason</w:t>
            </w:r>
          </w:p>
        </w:tc>
        <w:tc>
          <w:tcPr>
            <w:tcW w:type="dxa" w:w="5112"/>
            <w:vAlign w:val="center"/>
          </w:tcPr>
          <w:p>
            <w:r>
              <w:t>Why a rejected record was quarantined.</w:t>
            </w:r>
          </w:p>
        </w:tc>
      </w:tr>
    </w:tbl>
    <w:p>
      <w:pPr>
        <w:pStyle w:val="Heading1"/>
      </w:pPr>
      <w:r>
        <w:t>5. Environment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Environment</w:t>
            </w:r>
          </w:p>
        </w:tc>
        <w:tc>
          <w:tcPr>
            <w:tcW w:type="dxa" w:w="3408"/>
            <w:shd w:fill="D9EAF7"/>
          </w:tcPr>
          <w:p>
            <w:r>
              <w:rPr>
                <w:b/>
              </w:rPr>
              <w:t>Purpose</w:t>
            </w:r>
          </w:p>
        </w:tc>
        <w:tc>
          <w:tcPr>
            <w:tcW w:type="dxa" w:w="3408"/>
            <w:shd w:fill="D9EAF7"/>
          </w:tcPr>
          <w:p>
            <w:r>
              <w:rPr>
                <w:b/>
              </w:rPr>
              <w:t>Project Implementation</w:t>
            </w:r>
          </w:p>
        </w:tc>
      </w:tr>
      <w:tr>
        <w:tc>
          <w:tcPr>
            <w:tcW w:type="dxa" w:w="3408"/>
            <w:vAlign w:val="center"/>
          </w:tcPr>
          <w:p>
            <w:r>
              <w:t>DEV</w:t>
            </w:r>
          </w:p>
        </w:tc>
        <w:tc>
          <w:tcPr>
            <w:tcW w:type="dxa" w:w="3408"/>
            <w:vAlign w:val="center"/>
          </w:tcPr>
          <w:p>
            <w:r>
              <w:t>Active engineering and debugging</w:t>
            </w:r>
          </w:p>
        </w:tc>
        <w:tc>
          <w:tcPr>
            <w:tcW w:type="dxa" w:w="3408"/>
            <w:vAlign w:val="center"/>
          </w:tcPr>
          <w:p>
            <w:r>
              <w:t>Local developer environment.</w:t>
            </w:r>
          </w:p>
        </w:tc>
      </w:tr>
      <w:tr>
        <w:tc>
          <w:tcPr>
            <w:tcW w:type="dxa" w:w="3408"/>
            <w:vAlign w:val="center"/>
          </w:tcPr>
          <w:p>
            <w:r>
              <w:t>TEST</w:t>
            </w:r>
          </w:p>
        </w:tc>
        <w:tc>
          <w:tcPr>
            <w:tcW w:type="dxa" w:w="3408"/>
            <w:vAlign w:val="center"/>
          </w:tcPr>
          <w:p>
            <w:r>
              <w:t>Automated and integration validation</w:t>
            </w:r>
          </w:p>
        </w:tc>
        <w:tc>
          <w:tcPr>
            <w:tcW w:type="dxa" w:w="3408"/>
            <w:vAlign w:val="center"/>
          </w:tcPr>
          <w:p>
            <w:r>
              <w:t>Containerised/automated tests.</w:t>
            </w:r>
          </w:p>
        </w:tc>
      </w:tr>
      <w:tr>
        <w:tc>
          <w:tcPr>
            <w:tcW w:type="dxa" w:w="3408"/>
            <w:vAlign w:val="center"/>
          </w:tcPr>
          <w:p>
            <w:r>
              <w:t>PROD-like</w:t>
            </w:r>
          </w:p>
        </w:tc>
        <w:tc>
          <w:tcPr>
            <w:tcW w:type="dxa" w:w="3408"/>
            <w:vAlign w:val="center"/>
          </w:tcPr>
          <w:p>
            <w:r>
              <w:t>Controlled final demonstration/deployment</w:t>
            </w:r>
          </w:p>
        </w:tc>
        <w:tc>
          <w:tcPr>
            <w:tcW w:type="dxa" w:w="3408"/>
            <w:vAlign w:val="center"/>
          </w:tcPr>
          <w:p>
            <w:r>
              <w:t>Final local/cloud implementation; not a real employer production system.</w:t>
            </w:r>
          </w:p>
        </w:tc>
      </w:tr>
    </w:tbl>
    <w:p>
      <w:pPr>
        <w:pStyle w:val="Heading1"/>
      </w:pPr>
      <w:r>
        <w:t>6. GDPR-Aware Design</w:t>
      </w:r>
    </w:p>
    <w:p>
      <w:pPr>
        <w:pStyle w:val="ListBullet"/>
      </w:pPr>
      <w:r>
        <w:t>Use only synthetic customer records.</w:t>
      </w:r>
    </w:p>
    <w:p>
      <w:pPr>
        <w:pStyle w:val="ListBullet"/>
      </w:pPr>
      <w:r>
        <w:t>Minimise unnecessary exposure of PII in downstream marts and APIs.</w:t>
      </w:r>
    </w:p>
    <w:p>
      <w:pPr>
        <w:pStyle w:val="ListBullet"/>
      </w:pPr>
      <w:r>
        <w:t>Demonstrate masking/pseudonymisation where appropriate.</w:t>
      </w:r>
    </w:p>
    <w:p>
      <w:pPr>
        <w:pStyle w:val="ListBullet"/>
      </w:pPr>
      <w:r>
        <w:t>Document retention and deletion concepts, including how a customer deletion request would propagate.</w:t>
      </w:r>
    </w:p>
    <w:p>
      <w:pPr>
        <w:pStyle w:val="ListBullet"/>
      </w:pPr>
      <w:r>
        <w:t>Keep audit metadata sufficient to understand processing without unnecessarily duplicating sensitive fields.</w:t>
      </w:r>
    </w:p>
    <w:p>
      <w:pPr>
        <w:pStyle w:val="ListBullet"/>
      </w:pPr>
      <w:r>
        <w:t>Separate privacy design evidence from claims of formal legal compliance or certification.</w:t>
      </w:r>
    </w:p>
    <w:p>
      <w:pPr>
        <w:pStyle w:val="Heading1"/>
      </w:pPr>
      <w:r>
        <w:t>7. Observability and Auditability</w:t>
      </w:r>
    </w:p>
    <w:p>
      <w:r>
        <w:t>Operational metadata will capture run identifiers, pipeline name, timestamps, status, records read/written/rejected, duration, source and error details. This supports monitoring, troubleshooting, quality reporting and later portfolio evidence.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