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Architecture Decision Records</w:t>
      </w:r>
    </w:p>
    <w:p>
      <w:pPr>
        <w:jc w:val="center"/>
      </w:pPr>
      <w:r>
        <w:rPr>
          <w:i/>
          <w:sz w:val="22"/>
        </w:rPr>
        <w:t>09_architecture_decision_records.docx</w:t>
      </w:r>
    </w:p>
    <w:p>
      <w:pPr>
        <w:jc w:val="center"/>
      </w:pPr>
      <w:r>
        <w:rPr>
          <w:sz w:val="18"/>
        </w:rPr>
        <w:t>RetailFlow - Enterprise Data Engineering Platform | Phase 2</w:t>
      </w:r>
    </w:p>
    <w:p/>
    <w:p>
      <w:pPr>
        <w:pStyle w:val="Heading1"/>
      </w:pPr>
      <w:r>
        <w:t>How to Use These ADRs</w:t>
      </w:r>
    </w:p>
    <w:p>
      <w:r>
        <w:t>Each Architecture Decision Record captures the context, selected decision, alternatives considered and consequences. They are intentionally concise and will be updated if implementation evidence changes a decision.</w:t>
      </w:r>
    </w:p>
    <w:p>
      <w:pPr>
        <w:pStyle w:val="Heading1"/>
      </w:pPr>
      <w:r>
        <w:t>ADR-001 - PostgreSQL</w:t>
      </w:r>
    </w:p>
    <w:p>
      <w:pPr>
        <w:pStyle w:val="Heading2"/>
      </w:pPr>
      <w:r>
        <w:t>Context</w:t>
      </w:r>
    </w:p>
    <w:p>
      <w:r>
        <w:t>RetailFlow requires realistic relational operational sources and a local analytical warehouse.</w:t>
      </w:r>
    </w:p>
    <w:p>
      <w:pPr>
        <w:pStyle w:val="Heading2"/>
      </w:pPr>
      <w:r>
        <w:t>Decision</w:t>
      </w:r>
    </w:p>
    <w:p>
      <w:r>
        <w:t>Use PostgreSQL for transactional source simulation and the initial warehouse.</w:t>
      </w:r>
    </w:p>
    <w:p>
      <w:pPr>
        <w:pStyle w:val="Heading2"/>
      </w:pPr>
      <w:r>
        <w:t>Alternatives Considered</w:t>
      </w:r>
    </w:p>
    <w:p>
      <w:r>
        <w:t>SQLite, MySQL, immediate cloud warehouse deployment.</w:t>
      </w:r>
    </w:p>
    <w:p>
      <w:pPr>
        <w:pStyle w:val="Heading2"/>
      </w:pPr>
      <w:r>
        <w:t>Consequences</w:t>
      </w:r>
    </w:p>
    <w:p>
      <w:r>
        <w:t>Low-cost and transparent SQL environment; later cloud migration may require platform-specific adaptation.</w:t>
      </w:r>
    </w:p>
    <w:p>
      <w:pPr>
        <w:pStyle w:val="Heading1"/>
      </w:pPr>
      <w:r>
        <w:t>ADR-002 - Bronze / Silver / Gold</w:t>
      </w:r>
    </w:p>
    <w:p>
      <w:pPr>
        <w:pStyle w:val="Heading2"/>
      </w:pPr>
      <w:r>
        <w:t>Context</w:t>
      </w:r>
    </w:p>
    <w:p>
      <w:r>
        <w:t>The platform needs raw recoverability, trusted technical data and business-ready outputs.</w:t>
      </w:r>
    </w:p>
    <w:p>
      <w:pPr>
        <w:pStyle w:val="Heading2"/>
      </w:pPr>
      <w:r>
        <w:t>Decision</w:t>
      </w:r>
    </w:p>
    <w:p>
      <w:r>
        <w:t>Use Bronze, Silver and Gold layers with quarantine for invalid records.</w:t>
      </w:r>
    </w:p>
    <w:p>
      <w:pPr>
        <w:pStyle w:val="Heading2"/>
      </w:pPr>
      <w:r>
        <w:t>Alternatives Considered</w:t>
      </w:r>
    </w:p>
    <w:p>
      <w:r>
        <w:t>Single transformed database layer; direct source-to-warehouse processing.</w:t>
      </w:r>
    </w:p>
    <w:p>
      <w:pPr>
        <w:pStyle w:val="Heading2"/>
      </w:pPr>
      <w:r>
        <w:t>Consequences</w:t>
      </w:r>
    </w:p>
    <w:p>
      <w:r>
        <w:t>Clear responsibilities and recovery path, at the cost of additional storage and pipeline stages.</w:t>
      </w:r>
    </w:p>
    <w:p>
      <w:pPr>
        <w:pStyle w:val="Heading1"/>
      </w:pPr>
      <w:r>
        <w:t>ADR-003 - Parquet</w:t>
      </w:r>
    </w:p>
    <w:p>
      <w:pPr>
        <w:pStyle w:val="Heading2"/>
      </w:pPr>
      <w:r>
        <w:t>Context</w:t>
      </w:r>
    </w:p>
    <w:p>
      <w:r>
        <w:t>Analytical layers need an efficient file format beyond CSV/JSON.</w:t>
      </w:r>
    </w:p>
    <w:p>
      <w:pPr>
        <w:pStyle w:val="Heading2"/>
      </w:pPr>
      <w:r>
        <w:t>Decision</w:t>
      </w:r>
    </w:p>
    <w:p>
      <w:r>
        <w:t>Use Parquet for analytical file storage while preserving original formats where needed in Bronze.</w:t>
      </w:r>
    </w:p>
    <w:p>
      <w:pPr>
        <w:pStyle w:val="Heading2"/>
      </w:pPr>
      <w:r>
        <w:t>Alternatives Considered</w:t>
      </w:r>
    </w:p>
    <w:p>
      <w:r>
        <w:t>CSV-only storage; database-only staging.</w:t>
      </w:r>
    </w:p>
    <w:p>
      <w:pPr>
        <w:pStyle w:val="Heading2"/>
      </w:pPr>
      <w:r>
        <w:t>Consequences</w:t>
      </w:r>
    </w:p>
    <w:p>
      <w:r>
        <w:t>Improved analytical efficiency and schema handling; introduces an additional format/tooling requirement.</w:t>
      </w:r>
    </w:p>
    <w:p>
      <w:pPr>
        <w:pStyle w:val="Heading1"/>
      </w:pPr>
      <w:r>
        <w:t>ADR-004 - Apache Airflow</w:t>
      </w:r>
    </w:p>
    <w:p>
      <w:pPr>
        <w:pStyle w:val="Heading2"/>
      </w:pPr>
      <w:r>
        <w:t>Context</w:t>
      </w:r>
    </w:p>
    <w:p>
      <w:r>
        <w:t>Multiple dependent ingestion, validation and transformation jobs need scheduling and operational control.</w:t>
      </w:r>
    </w:p>
    <w:p>
      <w:pPr>
        <w:pStyle w:val="Heading2"/>
      </w:pPr>
      <w:r>
        <w:t>Decision</w:t>
      </w:r>
    </w:p>
    <w:p>
      <w:r>
        <w:t>Use Airflow as the workflow orchestrator.</w:t>
      </w:r>
    </w:p>
    <w:p>
      <w:pPr>
        <w:pStyle w:val="Heading2"/>
      </w:pPr>
      <w:r>
        <w:t>Alternatives Considered</w:t>
      </w:r>
    </w:p>
    <w:p>
      <w:r>
        <w:t>Cron scripts; orchestration embedded in Python; cloud-only orchestration.</w:t>
      </w:r>
    </w:p>
    <w:p>
      <w:pPr>
        <w:pStyle w:val="Heading2"/>
      </w:pPr>
      <w:r>
        <w:t>Consequences</w:t>
      </w:r>
    </w:p>
    <w:p>
      <w:r>
        <w:t>Strong visibility, retries and backfills; additional infrastructure complexity.</w:t>
      </w:r>
    </w:p>
    <w:p>
      <w:pPr>
        <w:pStyle w:val="Heading1"/>
      </w:pPr>
      <w:r>
        <w:t>ADR-005 - dbt Core</w:t>
      </w:r>
    </w:p>
    <w:p>
      <w:pPr>
        <w:pStyle w:val="Heading2"/>
      </w:pPr>
      <w:r>
        <w:t>Context</w:t>
      </w:r>
    </w:p>
    <w:p>
      <w:r>
        <w:t>SQL transformations need modularity, testing, dependencies and documentation.</w:t>
      </w:r>
    </w:p>
    <w:p>
      <w:pPr>
        <w:pStyle w:val="Heading2"/>
      </w:pPr>
      <w:r>
        <w:t>Decision</w:t>
      </w:r>
    </w:p>
    <w:p>
      <w:r>
        <w:t>Use dbt Core for transformation models and data tests.</w:t>
      </w:r>
    </w:p>
    <w:p>
      <w:pPr>
        <w:pStyle w:val="Heading2"/>
      </w:pPr>
      <w:r>
        <w:t>Alternatives Considered</w:t>
      </w:r>
    </w:p>
    <w:p>
      <w:r>
        <w:t>Hand-written SQL scripts only; transformations entirely in Python.</w:t>
      </w:r>
    </w:p>
    <w:p>
      <w:pPr>
        <w:pStyle w:val="Heading2"/>
      </w:pPr>
      <w:r>
        <w:t>Consequences</w:t>
      </w:r>
    </w:p>
    <w:p>
      <w:r>
        <w:t>Clear analytics-engineering workflow; requires learning dbt conventions and maintaining profiles/configuration.</w:t>
      </w:r>
    </w:p>
    <w:p>
      <w:pPr>
        <w:pStyle w:val="Heading1"/>
      </w:pPr>
      <w:r>
        <w:t>ADR-006 - Dimensional Modelling</w:t>
      </w:r>
    </w:p>
    <w:p>
      <w:pPr>
        <w:pStyle w:val="Heading2"/>
      </w:pPr>
      <w:r>
        <w:t>Context</w:t>
      </w:r>
    </w:p>
    <w:p>
      <w:r>
        <w:t>BI consumers require understandable, performant analytical structures and historical analysis.</w:t>
      </w:r>
    </w:p>
    <w:p>
      <w:pPr>
        <w:pStyle w:val="Heading2"/>
      </w:pPr>
      <w:r>
        <w:t>Decision</w:t>
      </w:r>
    </w:p>
    <w:p>
      <w:r>
        <w:t>Use fact/dimension models with SCD techniques where justified.</w:t>
      </w:r>
    </w:p>
    <w:p>
      <w:pPr>
        <w:pStyle w:val="Heading2"/>
      </w:pPr>
      <w:r>
        <w:t>Alternatives Considered</w:t>
      </w:r>
    </w:p>
    <w:p>
      <w:r>
        <w:t>Expose normalised operational schemas directly; one wide table for all analytics.</w:t>
      </w:r>
    </w:p>
    <w:p>
      <w:pPr>
        <w:pStyle w:val="Heading2"/>
      </w:pPr>
      <w:r>
        <w:t>Consequences</w:t>
      </w:r>
    </w:p>
    <w:p>
      <w:r>
        <w:t>Improves BI usability and historical modelling; requires explicit grain and key management.</w:t>
      </w:r>
    </w:p>
    <w:p>
      <w:pPr>
        <w:pStyle w:val="Heading1"/>
      </w:pPr>
      <w:r>
        <w:t>ADR-007 - Docker</w:t>
      </w:r>
    </w:p>
    <w:p>
      <w:pPr>
        <w:pStyle w:val="Heading2"/>
      </w:pPr>
      <w:r>
        <w:t>Context</w:t>
      </w:r>
    </w:p>
    <w:p>
      <w:r>
        <w:t>The project contains several services and must be reproducible.</w:t>
      </w:r>
    </w:p>
    <w:p>
      <w:pPr>
        <w:pStyle w:val="Heading2"/>
      </w:pPr>
      <w:r>
        <w:t>Decision</w:t>
      </w:r>
    </w:p>
    <w:p>
      <w:r>
        <w:t>Use Docker and Docker Compose for local platform services.</w:t>
      </w:r>
    </w:p>
    <w:p>
      <w:pPr>
        <w:pStyle w:val="Heading2"/>
      </w:pPr>
      <w:r>
        <w:t>Alternatives Considered</w:t>
      </w:r>
    </w:p>
    <w:p>
      <w:r>
        <w:t>Manual host installation of every service.</w:t>
      </w:r>
    </w:p>
    <w:p>
      <w:pPr>
        <w:pStyle w:val="Heading2"/>
      </w:pPr>
      <w:r>
        <w:t>Consequences</w:t>
      </w:r>
    </w:p>
    <w:p>
      <w:r>
        <w:t>Improves repeatability and portfolio portability; requires container knowledge and resource management.</w:t>
      </w:r>
    </w:p>
    <w:p>
      <w:pPr>
        <w:pStyle w:val="Heading1"/>
      </w:pPr>
      <w:r>
        <w:t>ADR-008 - Azure Cloud Target</w:t>
      </w:r>
    </w:p>
    <w:p>
      <w:pPr>
        <w:pStyle w:val="Heading2"/>
      </w:pPr>
      <w:r>
        <w:t>Context</w:t>
      </w:r>
    </w:p>
    <w:p>
      <w:r>
        <w:t>The final project should demonstrate a cloud-ready implementation and align with Power BI/Microsoft tooling.</w:t>
      </w:r>
    </w:p>
    <w:p>
      <w:pPr>
        <w:pStyle w:val="Heading2"/>
      </w:pPr>
      <w:r>
        <w:t>Decision</w:t>
      </w:r>
    </w:p>
    <w:p>
      <w:r>
        <w:t>Use Microsoft Azure as the target cloud ecosystem in the later phase.</w:t>
      </w:r>
    </w:p>
    <w:p>
      <w:pPr>
        <w:pStyle w:val="Heading2"/>
      </w:pPr>
      <w:r>
        <w:t>Alternatives Considered</w:t>
      </w:r>
    </w:p>
    <w:p>
      <w:r>
        <w:t>AWS, Google Cloud, remain local-only.</w:t>
      </w:r>
    </w:p>
    <w:p>
      <w:pPr>
        <w:pStyle w:val="Heading2"/>
      </w:pPr>
      <w:r>
        <w:t>Consequences</w:t>
      </w:r>
    </w:p>
    <w:p>
      <w:r>
        <w:t>Adds relevant cloud evidence; exact Azure services will be selected only after local behaviour is validated.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