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0"/>
        </w:rPr>
        <w:br/>
        <w:br/>
        <w:t>ASC NEIGHBOURHOOD INTELLIGENCE</w:t>
      </w:r>
    </w:p>
    <w:p>
      <w:pPr>
        <w:jc w:val="center"/>
      </w:pPr>
      <w:r>
        <w:rPr>
          <w:b/>
          <w:color w:val="2F5597"/>
          <w:sz w:val="32"/>
        </w:rPr>
        <w:t>Complete Project &amp; Technical Documentation</w:t>
      </w:r>
    </w:p>
    <w:p>
      <w:pPr>
        <w:jc w:val="center"/>
      </w:pPr>
      <w:r>
        <w:rPr>
          <w:sz w:val="24"/>
        </w:rPr>
        <w:br/>
        <w:t>Adult Social Care Demand, Inequality &amp; Forecasting Portfolio Project</w:t>
        <w:br/>
      </w:r>
      <w:r>
        <w:rPr>
          <w:sz w:val="20"/>
        </w:rPr>
        <w:t>Python • Power BI • ONS Population • IMD • Demand Forecasting</w:t>
      </w:r>
    </w:p>
    <w:p>
      <w:r>
        <w:br/>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7"/>
              </w:rPr>
              <w:t>Document field</w:t>
            </w:r>
          </w:p>
        </w:tc>
        <w:tc>
          <w:tcPr>
            <w:tcW w:type="dxa" w:w="5083"/>
            <w:shd w:fill="D9EAF7"/>
          </w:tcPr>
          <w:p>
            <w:r>
              <w:rPr>
                <w:b/>
                <w:sz w:val="17"/>
              </w:rPr>
              <w:t>Detail</w:t>
            </w:r>
          </w:p>
        </w:tc>
      </w:tr>
      <w:tr>
        <w:tc>
          <w:tcPr>
            <w:tcW w:type="dxa" w:w="5083"/>
            <w:vAlign w:val="top"/>
          </w:tcPr>
          <w:p>
            <w:pPr>
              <w:spacing w:after="20"/>
            </w:pPr>
            <w:r>
              <w:rPr>
                <w:sz w:val="16"/>
              </w:rPr>
              <w:t>Project</w:t>
            </w:r>
          </w:p>
        </w:tc>
        <w:tc>
          <w:tcPr>
            <w:tcW w:type="dxa" w:w="5083"/>
            <w:vAlign w:val="top"/>
          </w:tcPr>
          <w:p>
            <w:pPr>
              <w:spacing w:after="20"/>
            </w:pPr>
            <w:r>
              <w:rPr>
                <w:sz w:val="16"/>
              </w:rPr>
              <w:t>ASC Neighbourhood Intelligence</w:t>
            </w:r>
          </w:p>
        </w:tc>
      </w:tr>
      <w:tr>
        <w:tc>
          <w:tcPr>
            <w:tcW w:type="dxa" w:w="5083"/>
            <w:vAlign w:val="top"/>
          </w:tcPr>
          <w:p>
            <w:pPr>
              <w:spacing w:after="20"/>
            </w:pPr>
            <w:r>
              <w:rPr>
                <w:sz w:val="16"/>
              </w:rPr>
              <w:t>Purpose</w:t>
            </w:r>
          </w:p>
        </w:tc>
        <w:tc>
          <w:tcPr>
            <w:tcW w:type="dxa" w:w="5083"/>
            <w:vAlign w:val="top"/>
          </w:tcPr>
          <w:p>
            <w:pPr>
              <w:spacing w:after="20"/>
            </w:pPr>
            <w:r>
              <w:rPr>
                <w:sz w:val="16"/>
              </w:rPr>
              <w:t>Portfolio analytics solution for neighbourhood-level Adult Social Care demand intelligence</w:t>
            </w:r>
          </w:p>
        </w:tc>
      </w:tr>
      <w:tr>
        <w:tc>
          <w:tcPr>
            <w:tcW w:type="dxa" w:w="5083"/>
            <w:vAlign w:val="top"/>
          </w:tcPr>
          <w:p>
            <w:pPr>
              <w:spacing w:after="20"/>
            </w:pPr>
            <w:r>
              <w:rPr>
                <w:sz w:val="16"/>
              </w:rPr>
              <w:t>Primary tools</w:t>
            </w:r>
          </w:p>
        </w:tc>
        <w:tc>
          <w:tcPr>
            <w:tcW w:type="dxa" w:w="5083"/>
            <w:vAlign w:val="top"/>
          </w:tcPr>
          <w:p>
            <w:pPr>
              <w:spacing w:after="20"/>
            </w:pPr>
            <w:r>
              <w:rPr>
                <w:sz w:val="16"/>
              </w:rPr>
              <w:t>Python, pandas, Jupyter Notebook, Power BI, Power Query, DAX</w:t>
            </w:r>
          </w:p>
        </w:tc>
      </w:tr>
      <w:tr>
        <w:tc>
          <w:tcPr>
            <w:tcW w:type="dxa" w:w="5083"/>
            <w:vAlign w:val="top"/>
          </w:tcPr>
          <w:p>
            <w:pPr>
              <w:spacing w:after="20"/>
            </w:pPr>
            <w:r>
              <w:rPr>
                <w:sz w:val="16"/>
              </w:rPr>
              <w:t>Core analytical themes</w:t>
            </w:r>
          </w:p>
        </w:tc>
        <w:tc>
          <w:tcPr>
            <w:tcW w:type="dxa" w:w="5083"/>
            <w:vAlign w:val="top"/>
          </w:tcPr>
          <w:p>
            <w:pPr>
              <w:spacing w:after="20"/>
            </w:pPr>
            <w:r>
              <w:rPr>
                <w:sz w:val="16"/>
              </w:rPr>
              <w:t>Demand, referral rates, deprivation inequalities, trend analysis and forecasting</w:t>
            </w:r>
          </w:p>
        </w:tc>
      </w:tr>
      <w:tr>
        <w:tc>
          <w:tcPr>
            <w:tcW w:type="dxa" w:w="5083"/>
            <w:vAlign w:val="top"/>
          </w:tcPr>
          <w:p>
            <w:pPr>
              <w:spacing w:after="20"/>
            </w:pPr>
            <w:r>
              <w:rPr>
                <w:sz w:val="16"/>
              </w:rPr>
              <w:t>Documentation status</w:t>
            </w:r>
          </w:p>
        </w:tc>
        <w:tc>
          <w:tcPr>
            <w:tcW w:type="dxa" w:w="5083"/>
            <w:vAlign w:val="top"/>
          </w:tcPr>
          <w:p>
            <w:pPr>
              <w:spacing w:after="20"/>
            </w:pPr>
            <w:r>
              <w:rPr>
                <w:sz w:val="16"/>
              </w:rPr>
              <w:t>Consolidated from the recorded project build and validated outputs</w:t>
            </w:r>
          </w:p>
        </w:tc>
      </w:tr>
    </w:tbl>
    <w:p>
      <w:pPr>
        <w:pStyle w:val="Callout"/>
      </w:pPr>
      <w:r>
        <w:t>Important scope note: the project history began in a Southampton City Council context. Later work clarified Portsmouth City Council for a separate Civic System project. This document preserves the ASC project's recorded Southampton-labelled analytical outputs rather than silently relabelling them.</w:t>
      </w:r>
    </w:p>
    <w:p>
      <w:r>
        <w:br w:type="page"/>
      </w:r>
    </w:p>
    <w:p>
      <w:pPr>
        <w:pStyle w:val="Heading1"/>
      </w:pPr>
      <w:r>
        <w:t>1. Executive Summary</w:t>
      </w:r>
    </w:p>
    <w:p>
      <w:r>
        <w:t>ASC Neighbourhood Intelligence is an end-to-end analytics portfolio project designed to turn fragmented Adult Social Care, population, deprivation and monthly demand data into decision-ready neighbourhood intelligence. The solution combines Python-based data preparation and analytical engineering with a multi-page Power BI dashboard.</w:t>
      </w:r>
    </w:p>
    <w:p>
      <w:r>
        <w:t>The project calculates neighbourhood referral rates, identifies areas with the highest demand, compares demand across deprivation groups, tracks monthly referrals, and produces a forward-looking demand forecast. The recorded build produced a highest referral rate of 285.7 per 1,000 for Southampton 001A, a 1.34× referral-rate ratio between the most and least deprived groups, and a projected 12-month demand increase of 13.9%.</w:t>
      </w:r>
    </w:p>
    <w:p>
      <w:r>
        <w:t>The intended management value is to support evidence-led neighbourhood planning: identifying pressure points, distinguishing raw demand from population-adjusted demand, highlighting inequalities, and giving commissioners or service managers a clearer view of future capacity pressure.</w:t>
      </w:r>
    </w:p>
    <w:p>
      <w:pPr>
        <w:pStyle w:val="Heading1"/>
      </w:pPr>
      <w:r>
        <w:t>2. Business Problem &amp; Objectives</w:t>
      </w:r>
    </w:p>
    <w:p>
      <w:r>
        <w:t>Adult Social Care demand is not evenly distributed across neighbourhoods. Raw referral totals alone can mislead because neighbourhood populations differ, and demand may also be associated with deprivation and changing over time.</w:t>
      </w:r>
    </w:p>
    <w:p>
      <w:pPr>
        <w:pStyle w:val="ListBullet"/>
        <w:spacing w:after="40"/>
      </w:pPr>
      <w:r>
        <w:t>Create a single analytical view combining ASC referrals, older-population denominators, deprivation and time-series demand.</w:t>
      </w:r>
    </w:p>
    <w:p>
      <w:pPr>
        <w:pStyle w:val="ListBullet"/>
        <w:spacing w:after="40"/>
      </w:pPr>
      <w:r>
        <w:t>Calculate a comparable referral rate per 1,000 residents rather than relying only on raw counts.</w:t>
      </w:r>
    </w:p>
    <w:p>
      <w:pPr>
        <w:pStyle w:val="ListBullet"/>
        <w:spacing w:after="40"/>
      </w:pPr>
      <w:r>
        <w:t>Identify neighbourhoods with comparatively high referral demand.</w:t>
      </w:r>
    </w:p>
    <w:p>
      <w:pPr>
        <w:pStyle w:val="ListBullet"/>
        <w:spacing w:after="40"/>
      </w:pPr>
      <w:r>
        <w:t>Assess whether more deprived areas show higher referral rates than less deprived areas.</w:t>
      </w:r>
    </w:p>
    <w:p>
      <w:pPr>
        <w:pStyle w:val="ListBullet"/>
        <w:spacing w:after="40"/>
      </w:pPr>
      <w:r>
        <w:t>Visualise recent monthly demand and add a forward-looking forecast.</w:t>
      </w:r>
    </w:p>
    <w:p>
      <w:pPr>
        <w:pStyle w:val="ListBullet"/>
        <w:spacing w:after="40"/>
      </w:pPr>
      <w:r>
        <w:t>Translate analytical outputs into strategic planning insights for Adult Social Care and integrated neighbourhood working.</w:t>
      </w:r>
    </w:p>
    <w:p>
      <w:pPr>
        <w:pStyle w:val="ListBullet"/>
        <w:spacing w:after="40"/>
      </w:pPr>
      <w:r>
        <w:t>Produce a portfolio-ready Power BI and Python solution that can be documented and shared through GitHub.</w:t>
      </w:r>
    </w:p>
    <w:p>
      <w:pPr>
        <w:pStyle w:val="Heading1"/>
      </w:pPr>
      <w:r>
        <w:t>3. Data Sources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sz w:val="17"/>
              </w:rPr>
              <w:t>Dataset</w:t>
            </w:r>
          </w:p>
        </w:tc>
        <w:tc>
          <w:tcPr>
            <w:tcW w:type="dxa" w:w="3389"/>
            <w:shd w:fill="D9EAF7"/>
          </w:tcPr>
          <w:p>
            <w:r>
              <w:rPr>
                <w:b/>
                <w:sz w:val="17"/>
              </w:rPr>
              <w:t>Recorded source / role</w:t>
            </w:r>
          </w:p>
        </w:tc>
        <w:tc>
          <w:tcPr>
            <w:tcW w:type="dxa" w:w="3389"/>
            <w:shd w:fill="D9EAF7"/>
          </w:tcPr>
          <w:p>
            <w:r>
              <w:rPr>
                <w:b/>
                <w:sz w:val="17"/>
              </w:rPr>
              <w:t>Key fields or use</w:t>
            </w:r>
          </w:p>
        </w:tc>
      </w:tr>
      <w:tr>
        <w:tc>
          <w:tcPr>
            <w:tcW w:type="dxa" w:w="3389"/>
            <w:vAlign w:val="top"/>
          </w:tcPr>
          <w:p>
            <w:pPr>
              <w:spacing w:after="20"/>
            </w:pPr>
            <w:r>
              <w:rPr>
                <w:sz w:val="16"/>
              </w:rPr>
              <w:t>ONS LSOA 2021 population</w:t>
            </w:r>
          </w:p>
        </w:tc>
        <w:tc>
          <w:tcPr>
            <w:tcW w:type="dxa" w:w="3389"/>
            <w:vAlign w:val="top"/>
          </w:tcPr>
          <w:p>
            <w:pPr>
              <w:spacing w:after="20"/>
            </w:pPr>
            <w:r>
              <w:rPr>
                <w:sz w:val="16"/>
              </w:rPr>
              <w:t>ONS population workbook; Mid-2022, Mid-2023 and Mid-2024 LSOA 2021 sheets</w:t>
            </w:r>
          </w:p>
        </w:tc>
        <w:tc>
          <w:tcPr>
            <w:tcW w:type="dxa" w:w="3389"/>
            <w:vAlign w:val="top"/>
          </w:tcPr>
          <w:p>
            <w:pPr>
              <w:spacing w:after="20"/>
            </w:pPr>
            <w:r>
              <w:rPr>
                <w:sz w:val="16"/>
              </w:rPr>
              <w:t>LSOA codes/names and population, including 65+ denominator</w:t>
            </w:r>
          </w:p>
        </w:tc>
      </w:tr>
      <w:tr>
        <w:tc>
          <w:tcPr>
            <w:tcW w:type="dxa" w:w="3389"/>
            <w:vAlign w:val="top"/>
          </w:tcPr>
          <w:p>
            <w:pPr>
              <w:spacing w:after="20"/>
            </w:pPr>
            <w:r>
              <w:rPr>
                <w:sz w:val="16"/>
              </w:rPr>
              <w:t>ASC sample</w:t>
            </w:r>
          </w:p>
        </w:tc>
        <w:tc>
          <w:tcPr>
            <w:tcW w:type="dxa" w:w="3389"/>
            <w:vAlign w:val="top"/>
          </w:tcPr>
          <w:p>
            <w:pPr>
              <w:spacing w:after="20"/>
            </w:pPr>
            <w:r>
              <w:rPr>
                <w:sz w:val="16"/>
              </w:rPr>
              <w:t>asc_sample.csv</w:t>
            </w:r>
          </w:p>
        </w:tc>
        <w:tc>
          <w:tcPr>
            <w:tcW w:type="dxa" w:w="3389"/>
            <w:vAlign w:val="top"/>
          </w:tcPr>
          <w:p>
            <w:pPr>
              <w:spacing w:after="20"/>
            </w:pPr>
            <w:r>
              <w:rPr>
                <w:sz w:val="16"/>
              </w:rPr>
              <w:t>Adult Social Care referrals by LSOA</w:t>
            </w:r>
          </w:p>
        </w:tc>
      </w:tr>
      <w:tr>
        <w:tc>
          <w:tcPr>
            <w:tcW w:type="dxa" w:w="3389"/>
            <w:vAlign w:val="top"/>
          </w:tcPr>
          <w:p>
            <w:pPr>
              <w:spacing w:after="20"/>
            </w:pPr>
            <w:r>
              <w:rPr>
                <w:sz w:val="16"/>
              </w:rPr>
              <w:t>IMD quintiles</w:t>
            </w:r>
          </w:p>
        </w:tc>
        <w:tc>
          <w:tcPr>
            <w:tcW w:type="dxa" w:w="3389"/>
            <w:vAlign w:val="top"/>
          </w:tcPr>
          <w:p>
            <w:pPr>
              <w:spacing w:after="20"/>
            </w:pPr>
            <w:r>
              <w:rPr>
                <w:sz w:val="16"/>
              </w:rPr>
              <w:t>Deprivation mapping dataset</w:t>
            </w:r>
          </w:p>
        </w:tc>
        <w:tc>
          <w:tcPr>
            <w:tcW w:type="dxa" w:w="3389"/>
            <w:vAlign w:val="top"/>
          </w:tcPr>
          <w:p>
            <w:pPr>
              <w:spacing w:after="20"/>
            </w:pPr>
            <w:r>
              <w:rPr>
                <w:sz w:val="16"/>
              </w:rPr>
              <w:t>IMD_Quintile used for inequality analysis</w:t>
            </w:r>
          </w:p>
        </w:tc>
      </w:tr>
      <w:tr>
        <w:tc>
          <w:tcPr>
            <w:tcW w:type="dxa" w:w="3389"/>
            <w:vAlign w:val="top"/>
          </w:tcPr>
          <w:p>
            <w:pPr>
              <w:spacing w:after="20"/>
            </w:pPr>
            <w:r>
              <w:rPr>
                <w:sz w:val="16"/>
              </w:rPr>
              <w:t>Demand series</w:t>
            </w:r>
          </w:p>
        </w:tc>
        <w:tc>
          <w:tcPr>
            <w:tcW w:type="dxa" w:w="3389"/>
            <w:vAlign w:val="top"/>
          </w:tcPr>
          <w:p>
            <w:pPr>
              <w:spacing w:after="20"/>
            </w:pPr>
            <w:r>
              <w:rPr>
                <w:sz w:val="16"/>
              </w:rPr>
              <w:t>24-month monthly referral series</w:t>
            </w:r>
          </w:p>
        </w:tc>
        <w:tc>
          <w:tcPr>
            <w:tcW w:type="dxa" w:w="3389"/>
            <w:vAlign w:val="top"/>
          </w:tcPr>
          <w:p>
            <w:pPr>
              <w:spacing w:after="20"/>
            </w:pPr>
            <w:r>
              <w:rPr>
                <w:sz w:val="16"/>
              </w:rPr>
              <w:t>Month and monthly referrals; recorded series starts around 980 and ends around 1,295</w:t>
            </w:r>
          </w:p>
        </w:tc>
      </w:tr>
    </w:tbl>
    <w:p>
      <w:pPr>
        <w:pStyle w:val="Heading1"/>
      </w:pPr>
      <w:r>
        <w:t>4. Data Preparation &amp; Integration</w:t>
      </w:r>
    </w:p>
    <w:p>
      <w:r>
        <w:t>Python and pandas were used to inspect, clean and integrate the datasets. The project workflow linked neighbourhood identifiers across the ASC, ONS and deprivation data, then engineered analytical measures before export to Power BI.</w:t>
      </w:r>
    </w:p>
    <w:p>
      <w:pPr>
        <w:pStyle w:val="ListNumber"/>
        <w:spacing w:after="40"/>
      </w:pPr>
      <w:r>
        <w:t>Load and inspect the ONS population workbook and identify the correct Mid-2022, Mid-2023 and Mid-2024 LSOA 2021 sheets.</w:t>
      </w:r>
    </w:p>
    <w:p>
      <w:pPr>
        <w:pStyle w:val="ListNumber"/>
        <w:spacing w:after="40"/>
      </w:pPr>
      <w:r>
        <w:t>Load the ASC referral sample and validate neighbourhood identifiers.</w:t>
      </w:r>
    </w:p>
    <w:p>
      <w:pPr>
        <w:pStyle w:val="ListNumber"/>
        <w:spacing w:after="40"/>
      </w:pPr>
      <w:r>
        <w:t>Prepare the relevant older-population denominator for neighbourhood rate calculation.</w:t>
      </w:r>
    </w:p>
    <w:p>
      <w:pPr>
        <w:pStyle w:val="ListNumber"/>
        <w:spacing w:after="40"/>
      </w:pPr>
      <w:r>
        <w:t>Merge ASC referrals with population data using compatible LSOA identifiers.</w:t>
      </w:r>
    </w:p>
    <w:p>
      <w:pPr>
        <w:pStyle w:val="ListNumber"/>
        <w:spacing w:after="40"/>
      </w:pPr>
      <w:r>
        <w:t>Join IMD quintile information to the integrated neighbourhood dataset.</w:t>
      </w:r>
    </w:p>
    <w:p>
      <w:pPr>
        <w:pStyle w:val="ListNumber"/>
        <w:spacing w:after="40"/>
      </w:pPr>
      <w:r>
        <w:t>Create the referral-rate measure and validate outliers/highest-demand areas.</w:t>
      </w:r>
    </w:p>
    <w:p>
      <w:pPr>
        <w:pStyle w:val="ListNumber"/>
        <w:spacing w:after="40"/>
      </w:pPr>
      <w:r>
        <w:t>Prepare the 24-month demand series for time-series visualisation and forecasting.</w:t>
      </w:r>
    </w:p>
    <w:p>
      <w:pPr>
        <w:pStyle w:val="ListNumber"/>
        <w:spacing w:after="40"/>
      </w:pPr>
      <w:r>
        <w:t>Save the integrated analytical dataset to the project output folder for Power BI.</w:t>
      </w:r>
    </w:p>
    <w:p>
      <w:pPr>
        <w:pStyle w:val="Callout"/>
      </w:pPr>
      <w:r>
        <w:t>Recorded derived measure:</w:t>
      </w:r>
    </w:p>
    <w:p>
      <w:pPr>
        <w:jc w:val="center"/>
      </w:pPr>
      <w:r>
        <w:rPr>
          <w:b/>
          <w:sz w:val="22"/>
        </w:rPr>
        <w:t>Referral_Rate_per_1000 = (ASC_Referrals / Population_65_plus) × 1000</w:t>
      </w:r>
    </w:p>
    <w:p>
      <w:pPr>
        <w:pStyle w:val="Heading1"/>
      </w:pPr>
      <w:r>
        <w:t>5. Analytical Measures &amp; Recorded Results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sz w:val="17"/>
              </w:rPr>
              <w:t>Measure / finding</w:t>
            </w:r>
          </w:p>
        </w:tc>
        <w:tc>
          <w:tcPr>
            <w:tcW w:type="dxa" w:w="3389"/>
            <w:shd w:fill="D9EAF7"/>
          </w:tcPr>
          <w:p>
            <w:r>
              <w:rPr>
                <w:b/>
                <w:sz w:val="17"/>
              </w:rPr>
              <w:t>Recorded result</w:t>
            </w:r>
          </w:p>
        </w:tc>
        <w:tc>
          <w:tcPr>
            <w:tcW w:type="dxa" w:w="3389"/>
            <w:shd w:fill="D9EAF7"/>
          </w:tcPr>
          <w:p>
            <w:r>
              <w:rPr>
                <w:b/>
                <w:sz w:val="17"/>
              </w:rPr>
              <w:t>Interpretation</w:t>
            </w:r>
          </w:p>
        </w:tc>
      </w:tr>
      <w:tr>
        <w:tc>
          <w:tcPr>
            <w:tcW w:type="dxa" w:w="3389"/>
            <w:vAlign w:val="top"/>
          </w:tcPr>
          <w:p>
            <w:pPr>
              <w:spacing w:after="20"/>
            </w:pPr>
            <w:r>
              <w:rPr>
                <w:sz w:val="16"/>
              </w:rPr>
              <w:t>Total ASC referrals</w:t>
            </w:r>
          </w:p>
        </w:tc>
        <w:tc>
          <w:tcPr>
            <w:tcW w:type="dxa" w:w="3389"/>
            <w:vAlign w:val="top"/>
          </w:tcPr>
          <w:p>
            <w:pPr>
              <w:spacing w:after="20"/>
            </w:pPr>
            <w:r>
              <w:rPr>
                <w:sz w:val="16"/>
              </w:rPr>
              <w:t>1,355</w:t>
            </w:r>
          </w:p>
        </w:tc>
        <w:tc>
          <w:tcPr>
            <w:tcW w:type="dxa" w:w="3389"/>
            <w:vAlign w:val="top"/>
          </w:tcPr>
          <w:p>
            <w:pPr>
              <w:spacing w:after="20"/>
            </w:pPr>
            <w:r>
              <w:rPr>
                <w:sz w:val="16"/>
              </w:rPr>
              <w:t>Power BI card was corrected from abbreviated '1K' display to the exact total.</w:t>
            </w:r>
          </w:p>
        </w:tc>
      </w:tr>
      <w:tr>
        <w:tc>
          <w:tcPr>
            <w:tcW w:type="dxa" w:w="3389"/>
            <w:vAlign w:val="top"/>
          </w:tcPr>
          <w:p>
            <w:pPr>
              <w:spacing w:after="20"/>
            </w:pPr>
            <w:r>
              <w:rPr>
                <w:sz w:val="16"/>
              </w:rPr>
              <w:t>Highest referral neighbourhood</w:t>
            </w:r>
          </w:p>
        </w:tc>
        <w:tc>
          <w:tcPr>
            <w:tcW w:type="dxa" w:w="3389"/>
            <w:vAlign w:val="top"/>
          </w:tcPr>
          <w:p>
            <w:pPr>
              <w:spacing w:after="20"/>
            </w:pPr>
            <w:r>
              <w:rPr>
                <w:sz w:val="16"/>
              </w:rPr>
              <w:t>Southampton 001A</w:t>
            </w:r>
          </w:p>
        </w:tc>
        <w:tc>
          <w:tcPr>
            <w:tcW w:type="dxa" w:w="3389"/>
            <w:vAlign w:val="top"/>
          </w:tcPr>
          <w:p>
            <w:pPr>
              <w:spacing w:after="20"/>
            </w:pPr>
            <w:r>
              <w:rPr>
                <w:sz w:val="16"/>
              </w:rPr>
              <w:t>Sorted to the top of the neighbourhood referral-rate view.</w:t>
            </w:r>
          </w:p>
        </w:tc>
      </w:tr>
      <w:tr>
        <w:tc>
          <w:tcPr>
            <w:tcW w:type="dxa" w:w="3389"/>
            <w:vAlign w:val="top"/>
          </w:tcPr>
          <w:p>
            <w:pPr>
              <w:spacing w:after="20"/>
            </w:pPr>
            <w:r>
              <w:rPr>
                <w:sz w:val="16"/>
              </w:rPr>
              <w:t>Highest referral rate</w:t>
            </w:r>
          </w:p>
        </w:tc>
        <w:tc>
          <w:tcPr>
            <w:tcW w:type="dxa" w:w="3389"/>
            <w:vAlign w:val="top"/>
          </w:tcPr>
          <w:p>
            <w:pPr>
              <w:spacing w:after="20"/>
            </w:pPr>
            <w:r>
              <w:rPr>
                <w:sz w:val="16"/>
              </w:rPr>
              <w:t>285.7 per 1,000</w:t>
            </w:r>
          </w:p>
        </w:tc>
        <w:tc>
          <w:tcPr>
            <w:tcW w:type="dxa" w:w="3389"/>
            <w:vAlign w:val="top"/>
          </w:tcPr>
          <w:p>
            <w:pPr>
              <w:spacing w:after="20"/>
            </w:pPr>
            <w:r>
              <w:rPr>
                <w:sz w:val="16"/>
              </w:rPr>
              <w:t>Population-adjusted demand indicator for the recorded top neighbourhood.</w:t>
            </w:r>
          </w:p>
        </w:tc>
      </w:tr>
      <w:tr>
        <w:tc>
          <w:tcPr>
            <w:tcW w:type="dxa" w:w="3389"/>
            <w:vAlign w:val="top"/>
          </w:tcPr>
          <w:p>
            <w:pPr>
              <w:spacing w:after="20"/>
            </w:pPr>
            <w:r>
              <w:rPr>
                <w:sz w:val="16"/>
              </w:rPr>
              <w:t>Deprivation inequality ratio</w:t>
            </w:r>
          </w:p>
        </w:tc>
        <w:tc>
          <w:tcPr>
            <w:tcW w:type="dxa" w:w="3389"/>
            <w:vAlign w:val="top"/>
          </w:tcPr>
          <w:p>
            <w:pPr>
              <w:spacing w:after="20"/>
            </w:pPr>
            <w:r>
              <w:rPr>
                <w:sz w:val="16"/>
              </w:rPr>
              <w:t>1.34×</w:t>
            </w:r>
          </w:p>
        </w:tc>
        <w:tc>
          <w:tcPr>
            <w:tcW w:type="dxa" w:w="3389"/>
            <w:vAlign w:val="top"/>
          </w:tcPr>
          <w:p>
            <w:pPr>
              <w:spacing w:after="20"/>
            </w:pPr>
            <w:r>
              <w:rPr>
                <w:sz w:val="16"/>
              </w:rPr>
              <w:t>Recorded comparison: most deprived areas have 1.34× the referral rate of least deprived areas.</w:t>
            </w:r>
          </w:p>
        </w:tc>
      </w:tr>
      <w:tr>
        <w:tc>
          <w:tcPr>
            <w:tcW w:type="dxa" w:w="3389"/>
            <w:vAlign w:val="top"/>
          </w:tcPr>
          <w:p>
            <w:pPr>
              <w:spacing w:after="20"/>
            </w:pPr>
            <w:r>
              <w:rPr>
                <w:sz w:val="16"/>
              </w:rPr>
              <w:t>24-month demand</w:t>
            </w:r>
          </w:p>
        </w:tc>
        <w:tc>
          <w:tcPr>
            <w:tcW w:type="dxa" w:w="3389"/>
            <w:vAlign w:val="top"/>
          </w:tcPr>
          <w:p>
            <w:pPr>
              <w:spacing w:after="20"/>
            </w:pPr>
            <w:r>
              <w:rPr>
                <w:sz w:val="16"/>
              </w:rPr>
              <w:t>~980 → ~1,295</w:t>
            </w:r>
          </w:p>
        </w:tc>
        <w:tc>
          <w:tcPr>
            <w:tcW w:type="dxa" w:w="3389"/>
            <w:vAlign w:val="top"/>
          </w:tcPr>
          <w:p>
            <w:pPr>
              <w:spacing w:after="20"/>
            </w:pPr>
            <w:r>
              <w:rPr>
                <w:sz w:val="16"/>
              </w:rPr>
              <w:t>Monthly referral demand increased over the recorded period.</w:t>
            </w:r>
          </w:p>
        </w:tc>
      </w:tr>
      <w:tr>
        <w:tc>
          <w:tcPr>
            <w:tcW w:type="dxa" w:w="3389"/>
            <w:vAlign w:val="top"/>
          </w:tcPr>
          <w:p>
            <w:pPr>
              <w:spacing w:after="20"/>
            </w:pPr>
            <w:r>
              <w:rPr>
                <w:sz w:val="16"/>
              </w:rPr>
              <w:t>Projected 12-month increase</w:t>
            </w:r>
          </w:p>
        </w:tc>
        <w:tc>
          <w:tcPr>
            <w:tcW w:type="dxa" w:w="3389"/>
            <w:vAlign w:val="top"/>
          </w:tcPr>
          <w:p>
            <w:pPr>
              <w:spacing w:after="20"/>
            </w:pPr>
            <w:r>
              <w:rPr>
                <w:sz w:val="16"/>
              </w:rPr>
              <w:t>13.9%</w:t>
            </w:r>
          </w:p>
        </w:tc>
        <w:tc>
          <w:tcPr>
            <w:tcW w:type="dxa" w:w="3389"/>
            <w:vAlign w:val="top"/>
          </w:tcPr>
          <w:p>
            <w:pPr>
              <w:spacing w:after="20"/>
            </w:pPr>
            <w:r>
              <w:rPr>
                <w:sz w:val="16"/>
              </w:rPr>
              <w:t>Forward-looking demand KPI used on the Demand &amp; Forecast page.</w:t>
            </w:r>
          </w:p>
        </w:tc>
      </w:tr>
    </w:tbl>
    <w:p>
      <w:pPr>
        <w:pStyle w:val="Heading1"/>
      </w:pPr>
      <w:r>
        <w:t>6. Power BI Data Modelling</w:t>
      </w:r>
    </w:p>
    <w:p>
      <w:r>
        <w:t>The integrated data was imported into Power BI. An early issue caused the dataset to appear as one row with many columns; Power Query was then used to reshape/unpivot the data so that the model could support neighbourhood-level analysis and visuals correctly.</w:t>
      </w:r>
    </w:p>
    <w:p>
      <w:pPr>
        <w:pStyle w:val="ListBullet"/>
        <w:spacing w:after="40"/>
      </w:pPr>
      <w:r>
        <w:t>Validated IMD_Quintile in Power Query before building the inequality visuals.</w:t>
      </w:r>
    </w:p>
    <w:p>
      <w:pPr>
        <w:pStyle w:val="ListBullet"/>
        <w:spacing w:after="40"/>
      </w:pPr>
      <w:r>
        <w:t>Configured exact card display units so the referrals KPI showed 1,355 instead of 1K.</w:t>
      </w:r>
    </w:p>
    <w:p>
      <w:pPr>
        <w:pStyle w:val="ListBullet"/>
        <w:spacing w:after="40"/>
      </w:pPr>
      <w:r>
        <w:t>Sorted neighbourhood visuals by referral rate so the highest-rate area appeared first.</w:t>
      </w:r>
    </w:p>
    <w:p>
      <w:pPr>
        <w:pStyle w:val="ListBullet"/>
        <w:spacing w:after="40"/>
      </w:pPr>
      <w:r>
        <w:t>Used conditional formatting / colour gradients for deprivation and inequality interpretation.</w:t>
      </w:r>
    </w:p>
    <w:p>
      <w:pPr>
        <w:pStyle w:val="ListBullet"/>
        <w:spacing w:after="40"/>
      </w:pPr>
      <w:r>
        <w:t>Configured Month on the X-axis for the demand line chart and ensured the referral series was not incorrectly aggregated.</w:t>
      </w:r>
    </w:p>
    <w:p>
      <w:pPr>
        <w:pStyle w:val="ListBullet"/>
        <w:spacing w:after="40"/>
      </w:pPr>
      <w:r>
        <w:t>Added forecast functionality to the demand chart.</w:t>
      </w:r>
    </w:p>
    <w:p>
      <w:pPr>
        <w:pStyle w:val="ListBullet"/>
        <w:spacing w:after="40"/>
      </w:pPr>
      <w:r>
        <w:t>Corrected the projected-growth KPI from an erroneous 3,214% result and aligned it to a 12-month projection.</w:t>
      </w:r>
    </w:p>
    <w:p>
      <w:pPr>
        <w:pStyle w:val="Heading1"/>
      </w:pPr>
      <w:r>
        <w:t>7. Dashboard Design</w:t>
      </w:r>
    </w:p>
    <w:p>
      <w:pPr>
        <w:pStyle w:val="Heading2"/>
      </w:pPr>
      <w:r>
        <w:t>7.1 Neighbourhood Demand / Overview</w:t>
      </w:r>
    </w:p>
    <w:p>
      <w:r>
        <w:t>The overview layer is intended to give decision-makers an immediate view of demand volume and neighbourhood variation.</w:t>
      </w:r>
    </w:p>
    <w:p>
      <w:pPr>
        <w:pStyle w:val="ListBullet"/>
        <w:spacing w:after="40"/>
      </w:pPr>
      <w:r>
        <w:t>Total ASC Referrals KPI.</w:t>
      </w:r>
    </w:p>
    <w:p>
      <w:pPr>
        <w:pStyle w:val="ListBullet"/>
        <w:spacing w:after="40"/>
      </w:pPr>
      <w:r>
        <w:t>Neighbourhood / LSOA demand visual.</w:t>
      </w:r>
    </w:p>
    <w:p>
      <w:pPr>
        <w:pStyle w:val="ListBullet"/>
        <w:spacing w:after="40"/>
      </w:pPr>
      <w:r>
        <w:t>Referral Rate per 1,000 as the key population-adjusted comparison measure.</w:t>
      </w:r>
    </w:p>
    <w:p>
      <w:pPr>
        <w:pStyle w:val="ListBullet"/>
        <w:spacing w:after="40"/>
      </w:pPr>
      <w:r>
        <w:t>Sorting to surface the highest referral-rate neighbourhood first.</w:t>
      </w:r>
    </w:p>
    <w:p>
      <w:pPr>
        <w:pStyle w:val="ListBullet"/>
        <w:spacing w:after="40"/>
      </w:pPr>
      <w:r>
        <w:t>Use of exact values rather than abbreviated card units where precision matters.</w:t>
      </w:r>
    </w:p>
    <w:p>
      <w:pPr>
        <w:pStyle w:val="Heading2"/>
      </w:pPr>
      <w:r>
        <w:t>7.2 Inequalities Page</w:t>
      </w:r>
    </w:p>
    <w:p>
      <w:r>
        <w:t>The inequalities page links ASC demand with deprivation to identify whether demand pressure is distributed unequally.</w:t>
      </w:r>
    </w:p>
    <w:p>
      <w:pPr>
        <w:pStyle w:val="ListBullet"/>
        <w:spacing w:after="40"/>
      </w:pPr>
      <w:r>
        <w:t>IMD_Quintile used as the deprivation grouping.</w:t>
      </w:r>
    </w:p>
    <w:p>
      <w:pPr>
        <w:pStyle w:val="ListBullet"/>
        <w:spacing w:after="40"/>
      </w:pPr>
      <w:r>
        <w:t>Conditional formatting / gradient used to improve visual interpretation.</w:t>
      </w:r>
    </w:p>
    <w:p>
      <w:pPr>
        <w:pStyle w:val="ListBullet"/>
        <w:spacing w:after="40"/>
      </w:pPr>
      <w:r>
        <w:t>Most deprived vs least deprived referral-rate comparison.</w:t>
      </w:r>
    </w:p>
    <w:p>
      <w:pPr>
        <w:pStyle w:val="ListBullet"/>
        <w:spacing w:after="40"/>
      </w:pPr>
      <w:r>
        <w:t>Recorded inequality ratio: 1.34×.</w:t>
      </w:r>
    </w:p>
    <w:p>
      <w:pPr>
        <w:pStyle w:val="Heading2"/>
      </w:pPr>
      <w:r>
        <w:t>7.3 Demand &amp; Forecast Page</w:t>
      </w:r>
    </w:p>
    <w:p>
      <w:r>
        <w:t>The demand page focuses on service pressure over time and forward planning.</w:t>
      </w:r>
    </w:p>
    <w:p>
      <w:pPr>
        <w:pStyle w:val="ListBullet"/>
        <w:spacing w:after="40"/>
      </w:pPr>
      <w:r>
        <w:t>Month on the X-axis.</w:t>
      </w:r>
    </w:p>
    <w:p>
      <w:pPr>
        <w:pStyle w:val="ListBullet"/>
        <w:spacing w:after="40"/>
      </w:pPr>
      <w:r>
        <w:t>Monthly referrals on the Y-axis.</w:t>
      </w:r>
    </w:p>
    <w:p>
      <w:pPr>
        <w:pStyle w:val="ListBullet"/>
        <w:spacing w:after="40"/>
      </w:pPr>
      <w:r>
        <w:t>Recorded series rises from approximately 980 to 1,295 across 24 months.</w:t>
      </w:r>
    </w:p>
    <w:p>
      <w:pPr>
        <w:pStyle w:val="ListBullet"/>
        <w:spacing w:after="40"/>
      </w:pPr>
      <w:r>
        <w:t>Forecast added to the line chart.</w:t>
      </w:r>
    </w:p>
    <w:p>
      <w:pPr>
        <w:pStyle w:val="ListBullet"/>
        <w:spacing w:after="40"/>
      </w:pPr>
      <w:r>
        <w:t>Projected growth KPI aligned to a 12-month horizon.</w:t>
      </w:r>
    </w:p>
    <w:p>
      <w:pPr>
        <w:pStyle w:val="ListBullet"/>
        <w:spacing w:after="40"/>
      </w:pPr>
      <w:r>
        <w:t>Recorded 12-month projected increase: 13.9%.</w:t>
      </w:r>
    </w:p>
    <w:p>
      <w:pPr>
        <w:pStyle w:val="Heading1"/>
      </w:pPr>
      <w:r>
        <w:t>8. Forecasting Approach</w:t>
      </w:r>
    </w:p>
    <w:p>
      <w:r>
        <w:t>The portfolio build used the prepared monthly referral series in Power BI to visualise historical demand and add a forecast. The documentation available for this consolidated report supports the recorded 12-month projected increase of 13.9%, but does not preserve enough detail to claim a specific statistical forecasting algorithm, confidence configuration or production-grade validation method beyond the Power BI forecasting work completed.</w:t>
      </w:r>
    </w:p>
    <w:p>
      <w:pPr>
        <w:pStyle w:val="Callout"/>
      </w:pPr>
      <w:r>
        <w:t>For a production implementation, forecast accuracy should be validated using holdout periods or rolling-origin backtesting, with seasonality, service changes, demographic shifts and policy effects explicitly considered.</w:t>
      </w:r>
    </w:p>
    <w:p>
      <w:pPr>
        <w:pStyle w:val="Heading1"/>
      </w:pPr>
      <w:r>
        <w:t>9. Strategic Insights &amp; Planning</w:t>
      </w:r>
    </w:p>
    <w:p>
      <w:r>
        <w:t>The analytical outputs support several practical planning questions:</w:t>
      </w:r>
    </w:p>
    <w:p>
      <w:pPr>
        <w:pStyle w:val="ListBullet"/>
        <w:spacing w:after="40"/>
      </w:pPr>
      <w:r>
        <w:t>Where is population-adjusted ASC referral pressure highest?</w:t>
      </w:r>
    </w:p>
    <w:p>
      <w:pPr>
        <w:pStyle w:val="ListBullet"/>
        <w:spacing w:after="40"/>
      </w:pPr>
      <w:r>
        <w:t>Which neighbourhoods should be prioritised for deeper investigation or preventative support?</w:t>
      </w:r>
    </w:p>
    <w:p>
      <w:pPr>
        <w:pStyle w:val="ListBullet"/>
        <w:spacing w:after="40"/>
      </w:pPr>
      <w:r>
        <w:t>Are more deprived communities experiencing systematically higher demand?</w:t>
      </w:r>
    </w:p>
    <w:p>
      <w:pPr>
        <w:pStyle w:val="ListBullet"/>
        <w:spacing w:after="40"/>
      </w:pPr>
      <w:r>
        <w:t>Is demand rising quickly enough to create future workforce, assessment or care-capacity pressure?</w:t>
      </w:r>
    </w:p>
    <w:p>
      <w:pPr>
        <w:pStyle w:val="ListBullet"/>
        <w:spacing w:after="40"/>
      </w:pPr>
      <w:r>
        <w:t>Where could integrated neighbourhood working target early intervention, community support or demand management?</w:t>
      </w:r>
    </w:p>
    <w:p>
      <w:pPr>
        <w:pStyle w:val="ListBullet"/>
        <w:spacing w:after="40"/>
      </w:pPr>
      <w:r>
        <w:t>Which metrics should managers monitor over time to distinguish structural demand growth from short-term variation?</w:t>
      </w:r>
    </w:p>
    <w:p>
      <w:r>
        <w:t>The 1.34× deprivation ratio should be treated as an analytical signal rather than proof that deprivation causes higher ASC demand. Likewise, the 13.9% forecast is a planning indicator, not a guaranteed future outcome.</w:t>
      </w:r>
    </w:p>
    <w:p>
      <w:pPr>
        <w:pStyle w:val="Heading1"/>
      </w:pPr>
      <w:r>
        <w:t>10. Quality Assurance &amp; Troubleshooting</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7"/>
              </w:rPr>
              <w:t>Issue encountered</w:t>
            </w:r>
          </w:p>
        </w:tc>
        <w:tc>
          <w:tcPr>
            <w:tcW w:type="dxa" w:w="5083"/>
            <w:shd w:fill="D9EAF7"/>
          </w:tcPr>
          <w:p>
            <w:r>
              <w:rPr>
                <w:b/>
                <w:sz w:val="17"/>
              </w:rPr>
              <w:t>Resolution / learning</w:t>
            </w:r>
          </w:p>
        </w:tc>
      </w:tr>
      <w:tr>
        <w:tc>
          <w:tcPr>
            <w:tcW w:type="dxa" w:w="5083"/>
            <w:vAlign w:val="top"/>
          </w:tcPr>
          <w:p>
            <w:pPr>
              <w:spacing w:after="20"/>
            </w:pPr>
            <w:r>
              <w:rPr>
                <w:sz w:val="16"/>
              </w:rPr>
              <w:t>Integrated dataset appeared as one row / 35 columns in Power BI</w:t>
            </w:r>
          </w:p>
        </w:tc>
        <w:tc>
          <w:tcPr>
            <w:tcW w:type="dxa" w:w="5083"/>
            <w:vAlign w:val="top"/>
          </w:tcPr>
          <w:p>
            <w:pPr>
              <w:spacing w:after="20"/>
            </w:pPr>
            <w:r>
              <w:rPr>
                <w:sz w:val="16"/>
              </w:rPr>
              <w:t>Used Power Query reshaping/unpivot to restore analytical row structure.</w:t>
            </w:r>
          </w:p>
        </w:tc>
      </w:tr>
      <w:tr>
        <w:tc>
          <w:tcPr>
            <w:tcW w:type="dxa" w:w="5083"/>
            <w:vAlign w:val="top"/>
          </w:tcPr>
          <w:p>
            <w:pPr>
              <w:spacing w:after="20"/>
            </w:pPr>
            <w:r>
              <w:rPr>
                <w:sz w:val="16"/>
              </w:rPr>
              <w:t>Referral KPI displayed as 1K</w:t>
            </w:r>
          </w:p>
        </w:tc>
        <w:tc>
          <w:tcPr>
            <w:tcW w:type="dxa" w:w="5083"/>
            <w:vAlign w:val="top"/>
          </w:tcPr>
          <w:p>
            <w:pPr>
              <w:spacing w:after="20"/>
            </w:pPr>
            <w:r>
              <w:rPr>
                <w:sz w:val="16"/>
              </w:rPr>
              <w:t>Changed display units to show the exact 1,355 value.</w:t>
            </w:r>
          </w:p>
        </w:tc>
      </w:tr>
      <w:tr>
        <w:tc>
          <w:tcPr>
            <w:tcW w:type="dxa" w:w="5083"/>
            <w:vAlign w:val="top"/>
          </w:tcPr>
          <w:p>
            <w:pPr>
              <w:spacing w:after="20"/>
            </w:pPr>
            <w:r>
              <w:rPr>
                <w:sz w:val="16"/>
              </w:rPr>
              <w:t>Neighbourhood order not useful</w:t>
            </w:r>
          </w:p>
        </w:tc>
        <w:tc>
          <w:tcPr>
            <w:tcW w:type="dxa" w:w="5083"/>
            <w:vAlign w:val="top"/>
          </w:tcPr>
          <w:p>
            <w:pPr>
              <w:spacing w:after="20"/>
            </w:pPr>
            <w:r>
              <w:rPr>
                <w:sz w:val="16"/>
              </w:rPr>
              <w:t>Sorted by referral rate so Southampton 001A appeared at the top.</w:t>
            </w:r>
          </w:p>
        </w:tc>
      </w:tr>
      <w:tr>
        <w:tc>
          <w:tcPr>
            <w:tcW w:type="dxa" w:w="5083"/>
            <w:vAlign w:val="top"/>
          </w:tcPr>
          <w:p>
            <w:pPr>
              <w:spacing w:after="20"/>
            </w:pPr>
            <w:r>
              <w:rPr>
                <w:sz w:val="16"/>
              </w:rPr>
              <w:t>IMD conditional formatting confusion</w:t>
            </w:r>
          </w:p>
        </w:tc>
        <w:tc>
          <w:tcPr>
            <w:tcW w:type="dxa" w:w="5083"/>
            <w:vAlign w:val="top"/>
          </w:tcPr>
          <w:p>
            <w:pPr>
              <w:spacing w:after="20"/>
            </w:pPr>
            <w:r>
              <w:rPr>
                <w:sz w:val="16"/>
              </w:rPr>
              <w:t>Verified IMD_Quintile in Power Query and configured rules/gradient.</w:t>
            </w:r>
          </w:p>
        </w:tc>
      </w:tr>
      <w:tr>
        <w:tc>
          <w:tcPr>
            <w:tcW w:type="dxa" w:w="5083"/>
            <w:vAlign w:val="top"/>
          </w:tcPr>
          <w:p>
            <w:pPr>
              <w:spacing w:after="20"/>
            </w:pPr>
            <w:r>
              <w:rPr>
                <w:sz w:val="16"/>
              </w:rPr>
              <w:t>Demand chart appeared to sum referrals incorrectly</w:t>
            </w:r>
          </w:p>
        </w:tc>
        <w:tc>
          <w:tcPr>
            <w:tcW w:type="dxa" w:w="5083"/>
            <w:vAlign w:val="top"/>
          </w:tcPr>
          <w:p>
            <w:pPr>
              <w:spacing w:after="20"/>
            </w:pPr>
            <w:r>
              <w:rPr>
                <w:sz w:val="16"/>
              </w:rPr>
              <w:t>Corrected field/aggregation configuration so the series began around 980 and ended around 1,295.</w:t>
            </w:r>
          </w:p>
        </w:tc>
      </w:tr>
      <w:tr>
        <w:tc>
          <w:tcPr>
            <w:tcW w:type="dxa" w:w="5083"/>
            <w:vAlign w:val="top"/>
          </w:tcPr>
          <w:p>
            <w:pPr>
              <w:spacing w:after="20"/>
            </w:pPr>
            <w:r>
              <w:rPr>
                <w:sz w:val="16"/>
              </w:rPr>
              <w:t>Projected growth showed 3,214%</w:t>
            </w:r>
          </w:p>
        </w:tc>
        <w:tc>
          <w:tcPr>
            <w:tcW w:type="dxa" w:w="5083"/>
            <w:vAlign w:val="top"/>
          </w:tcPr>
          <w:p>
            <w:pPr>
              <w:spacing w:after="20"/>
            </w:pPr>
            <w:r>
              <w:rPr>
                <w:sz w:val="16"/>
              </w:rPr>
              <w:t>Corrected the growth logic/horizon and changed the KPI to the intended 12-month measure.</w:t>
            </w:r>
          </w:p>
        </w:tc>
      </w:tr>
      <w:tr>
        <w:tc>
          <w:tcPr>
            <w:tcW w:type="dxa" w:w="5083"/>
            <w:vAlign w:val="top"/>
          </w:tcPr>
          <w:p>
            <w:pPr>
              <w:spacing w:after="20"/>
            </w:pPr>
            <w:r>
              <w:rPr>
                <w:sz w:val="16"/>
              </w:rPr>
              <w:t>Notebook variable lost after restart</w:t>
            </w:r>
          </w:p>
        </w:tc>
        <w:tc>
          <w:tcPr>
            <w:tcW w:type="dxa" w:w="5083"/>
            <w:vAlign w:val="top"/>
          </w:tcPr>
          <w:p>
            <w:pPr>
              <w:spacing w:after="20"/>
            </w:pPr>
            <w:r>
              <w:rPr>
                <w:sz w:val="16"/>
              </w:rPr>
              <w:t>Re-created/re-ran integration steps; highlighted need for reproducible notebook execution order.</w:t>
            </w:r>
          </w:p>
        </w:tc>
      </w:tr>
      <w:tr>
        <w:tc>
          <w:tcPr>
            <w:tcW w:type="dxa" w:w="5083"/>
            <w:vAlign w:val="top"/>
          </w:tcPr>
          <w:p>
            <w:pPr>
              <w:spacing w:after="20"/>
            </w:pPr>
            <w:r>
              <w:rPr>
                <w:sz w:val="16"/>
              </w:rPr>
              <w:t>Date-range frequency issue</w:t>
            </w:r>
          </w:p>
        </w:tc>
        <w:tc>
          <w:tcPr>
            <w:tcW w:type="dxa" w:w="5083"/>
            <w:vAlign w:val="top"/>
          </w:tcPr>
          <w:p>
            <w:pPr>
              <w:spacing w:after="20"/>
            </w:pPr>
            <w:r>
              <w:rPr>
                <w:sz w:val="16"/>
              </w:rPr>
              <w:t>Corrected pandas date-range frequency handling during time-series preparation.</w:t>
            </w:r>
          </w:p>
        </w:tc>
      </w:tr>
    </w:tbl>
    <w:p>
      <w:pPr>
        <w:pStyle w:val="Heading1"/>
      </w:pPr>
      <w:r>
        <w:t>11. Technical Project Structure</w:t>
      </w:r>
    </w:p>
    <w:p>
      <w:r>
        <w:t>A portfolio implementation can be organised as follows:</w:t>
      </w:r>
    </w:p>
    <w:p>
      <w:r>
        <w:rPr>
          <w:rFonts w:ascii="Consolas" w:hAnsi="Consolas"/>
          <w:sz w:val="17"/>
        </w:rPr>
        <w:t>ASC_Neighbourhood_Intelligence/</w:t>
        <w:br/>
        <w:t>├── data/</w:t>
        <w:br/>
        <w:t>│   ├── raw/</w:t>
        <w:br/>
        <w:t>│   └── processed/</w:t>
        <w:br/>
        <w:t>├── notebooks/</w:t>
        <w:br/>
        <w:t>│   ├── 01_data_loading_cleaning.ipynb</w:t>
        <w:br/>
        <w:t>│   ├── 02_data_integration.ipynb</w:t>
        <w:br/>
        <w:t>│   ├── 03_neighbourhood_analysis.ipynb</w:t>
        <w:br/>
        <w:t>│   └── 04_demand_forecast.ipynb</w:t>
        <w:br/>
        <w:t>├── output/</w:t>
        <w:br/>
        <w:t>│   └── integrated_asc_neighbourhood_data.csv</w:t>
        <w:br/>
        <w:t>├── powerbi/</w:t>
        <w:br/>
        <w:t>│   └── ASC_Neighbourhood_Intelligence.pbix</w:t>
        <w:br/>
        <w:t>├── screenshots/</w:t>
        <w:br/>
        <w:t>├── docs/</w:t>
        <w:br/>
        <w:t>└── README.md</w:t>
      </w:r>
    </w:p>
    <w:p>
      <w:pPr>
        <w:pStyle w:val="Heading1"/>
      </w:pPr>
      <w:r>
        <w:t>12. Reproducibility Workflow</w:t>
      </w:r>
    </w:p>
    <w:p>
      <w:pPr>
        <w:pStyle w:val="ListNumber"/>
        <w:spacing w:after="40"/>
      </w:pPr>
      <w:r>
        <w:t>Place raw ONS, ASC, IMD and demand files in the raw-data area.</w:t>
      </w:r>
    </w:p>
    <w:p>
      <w:pPr>
        <w:pStyle w:val="ListNumber"/>
        <w:spacing w:after="40"/>
      </w:pPr>
      <w:r>
        <w:t>Run data-loading and cleaning steps from the beginning of the notebook.</w:t>
      </w:r>
    </w:p>
    <w:p>
      <w:pPr>
        <w:pStyle w:val="ListNumber"/>
        <w:spacing w:after="40"/>
      </w:pPr>
      <w:r>
        <w:t>Validate LSOA identifiers and population fields before merging.</w:t>
      </w:r>
    </w:p>
    <w:p>
      <w:pPr>
        <w:pStyle w:val="ListNumber"/>
        <w:spacing w:after="40"/>
      </w:pPr>
      <w:r>
        <w:t>Run the integration notebook to produce the processed neighbourhood dataset.</w:t>
      </w:r>
    </w:p>
    <w:p>
      <w:pPr>
        <w:pStyle w:val="ListNumber"/>
        <w:spacing w:after="40"/>
      </w:pPr>
      <w:r>
        <w:t>Validate referral totals, top referral rate and IMD grouping.</w:t>
      </w:r>
    </w:p>
    <w:p>
      <w:pPr>
        <w:pStyle w:val="ListNumber"/>
        <w:spacing w:after="40"/>
      </w:pPr>
      <w:r>
        <w:t>Export the processed dataset to the output folder.</w:t>
      </w:r>
    </w:p>
    <w:p>
      <w:pPr>
        <w:pStyle w:val="ListNumber"/>
        <w:spacing w:after="40"/>
      </w:pPr>
      <w:r>
        <w:t>Refresh the Power BI model.</w:t>
      </w:r>
    </w:p>
    <w:p>
      <w:pPr>
        <w:pStyle w:val="ListNumber"/>
        <w:spacing w:after="40"/>
      </w:pPr>
      <w:r>
        <w:t>Validate KPI values, sorting, inequality visuals and demand time series.</w:t>
      </w:r>
    </w:p>
    <w:p>
      <w:pPr>
        <w:pStyle w:val="ListNumber"/>
        <w:spacing w:after="40"/>
      </w:pPr>
      <w:r>
        <w:t>Refresh or re-run the forecast and confirm the 12-month KPI.</w:t>
      </w:r>
    </w:p>
    <w:p>
      <w:pPr>
        <w:pStyle w:val="ListNumber"/>
        <w:spacing w:after="40"/>
      </w:pPr>
      <w:r>
        <w:t>Capture screenshots and update documentation/GitHub evidence.</w:t>
      </w:r>
    </w:p>
    <w:p>
      <w:pPr>
        <w:pStyle w:val="Heading1"/>
      </w:pPr>
      <w:r>
        <w:t>13. Data Governance, Ethics &amp; Limitations</w:t>
      </w:r>
    </w:p>
    <w:p>
      <w:pPr>
        <w:pStyle w:val="ListBullet"/>
        <w:spacing w:after="40"/>
      </w:pPr>
      <w:r>
        <w:t>The recorded build uses portfolio/sample analytical data; it should not be presented as live operational council case data unless independently verified.</w:t>
      </w:r>
    </w:p>
    <w:p>
      <w:pPr>
        <w:pStyle w:val="ListBullet"/>
        <w:spacing w:after="40"/>
      </w:pPr>
      <w:r>
        <w:t>Neighbourhood referral rates depend on the quality and appropriateness of the Population_65_plus denominator.</w:t>
      </w:r>
    </w:p>
    <w:p>
      <w:pPr>
        <w:pStyle w:val="ListBullet"/>
        <w:spacing w:after="40"/>
      </w:pPr>
      <w:r>
        <w:t>Small-area rates can be unstable when populations or referral counts are small; production dashboards should consider suppression or confidence intervals.</w:t>
      </w:r>
    </w:p>
    <w:p>
      <w:pPr>
        <w:pStyle w:val="ListBullet"/>
        <w:spacing w:after="40"/>
      </w:pPr>
      <w:r>
        <w:t>IMD is an area-level measure and should not be interpreted as the deprivation status of every individual resident.</w:t>
      </w:r>
    </w:p>
    <w:p>
      <w:pPr>
        <w:pStyle w:val="ListBullet"/>
        <w:spacing w:after="40"/>
      </w:pPr>
      <w:r>
        <w:t>The observed 1.34× association does not establish causality.</w:t>
      </w:r>
    </w:p>
    <w:p>
      <w:pPr>
        <w:pStyle w:val="ListBullet"/>
        <w:spacing w:after="40"/>
      </w:pPr>
      <w:r>
        <w:t>Forecasts are uncertain and should be accompanied by validation and confidence information in operational use.</w:t>
      </w:r>
    </w:p>
    <w:p>
      <w:pPr>
        <w:pStyle w:val="ListBullet"/>
        <w:spacing w:after="40"/>
      </w:pPr>
      <w:r>
        <w:t>Real ASC data may contain sensitive personal information; production solutions require appropriate access controls, minimisation, retention rules and disclosure-risk management.</w:t>
      </w:r>
    </w:p>
    <w:p>
      <w:pPr>
        <w:pStyle w:val="ListBullet"/>
        <w:spacing w:after="40"/>
      </w:pPr>
      <w:r>
        <w:t>Geographic and organisational labels should be checked before publication because the historical project record contains Southampton-labelled ASC outputs while later separate work focused on Portsmouth.</w:t>
      </w:r>
    </w:p>
    <w:p>
      <w:pPr>
        <w:pStyle w:val="Heading1"/>
      </w:pPr>
      <w:r>
        <w:t>14. Portfolio Skills Demonstrated</w:t>
      </w:r>
    </w:p>
    <w:p>
      <w:pPr>
        <w:pStyle w:val="ListBullet"/>
        <w:spacing w:after="40"/>
      </w:pPr>
      <w:r>
        <w:t>Python and pandas data preparation.</w:t>
      </w:r>
    </w:p>
    <w:p>
      <w:pPr>
        <w:pStyle w:val="ListBullet"/>
        <w:spacing w:after="40"/>
      </w:pPr>
      <w:r>
        <w:t>Multi-source data integration.</w:t>
      </w:r>
    </w:p>
    <w:p>
      <w:pPr>
        <w:pStyle w:val="ListBullet"/>
        <w:spacing w:after="40"/>
      </w:pPr>
      <w:r>
        <w:t>Population-normalised rate calculation.</w:t>
      </w:r>
    </w:p>
    <w:p>
      <w:pPr>
        <w:pStyle w:val="ListBullet"/>
        <w:spacing w:after="40"/>
      </w:pPr>
      <w:r>
        <w:t>Neighbourhood / LSOA analysis.</w:t>
      </w:r>
    </w:p>
    <w:p>
      <w:pPr>
        <w:pStyle w:val="ListBullet"/>
        <w:spacing w:after="40"/>
      </w:pPr>
      <w:r>
        <w:t>Deprivation and inequality analysis.</w:t>
      </w:r>
    </w:p>
    <w:p>
      <w:pPr>
        <w:pStyle w:val="ListBullet"/>
        <w:spacing w:after="40"/>
      </w:pPr>
      <w:r>
        <w:t>Time-series demand analysis and forecasting.</w:t>
      </w:r>
    </w:p>
    <w:p>
      <w:pPr>
        <w:pStyle w:val="ListBullet"/>
        <w:spacing w:after="40"/>
      </w:pPr>
      <w:r>
        <w:t>Power Query transformation.</w:t>
      </w:r>
    </w:p>
    <w:p>
      <w:pPr>
        <w:pStyle w:val="ListBullet"/>
        <w:spacing w:after="40"/>
      </w:pPr>
      <w:r>
        <w:t>Power BI dashboard design.</w:t>
      </w:r>
    </w:p>
    <w:p>
      <w:pPr>
        <w:pStyle w:val="ListBullet"/>
        <w:spacing w:after="40"/>
      </w:pPr>
      <w:r>
        <w:t>KPI development and troubleshooting.</w:t>
      </w:r>
    </w:p>
    <w:p>
      <w:pPr>
        <w:pStyle w:val="ListBullet"/>
        <w:spacing w:after="40"/>
      </w:pPr>
      <w:r>
        <w:t>Analytical quality assurance.</w:t>
      </w:r>
    </w:p>
    <w:p>
      <w:pPr>
        <w:pStyle w:val="ListBullet"/>
        <w:spacing w:after="40"/>
      </w:pPr>
      <w:r>
        <w:t>Translation of data into strategic planning insights.</w:t>
      </w:r>
    </w:p>
    <w:p>
      <w:pPr>
        <w:pStyle w:val="ListBullet"/>
        <w:spacing w:after="40"/>
      </w:pPr>
      <w:r>
        <w:t>Public-sector / Adult Social Care analytical thinking.</w:t>
      </w:r>
    </w:p>
    <w:p>
      <w:pPr>
        <w:pStyle w:val="ListBullet"/>
        <w:spacing w:after="40"/>
      </w:pPr>
      <w:r>
        <w:t>GitHub and portfolio documentation.</w:t>
      </w:r>
    </w:p>
    <w:p>
      <w:pPr>
        <w:pStyle w:val="Heading1"/>
      </w:pPr>
      <w:r>
        <w:t>15. Suggested Portfolio Description</w:t>
      </w:r>
    </w:p>
    <w:p>
      <w:r>
        <w:t>ASC Neighbourhood Intelligence | Python, Power BI, ONS, IMD, Forecasting</w:t>
        <w:br/>
        <w:t>Developed an end-to-end Adult Social Care neighbourhood intelligence solution integrating referral, ONS population, deprivation and monthly demand data. Engineered population-adjusted referral rates, identified neighbourhood demand hotspots, quantified deprivation-related inequalities, and built a Power BI demand-and-forecast dashboard. Recorded outputs included a top referral rate of 285.7 per 1,000, a 1.34× most-to-least deprived referral-rate ratio, and a 13.9% projected 12-month demand increase. Translated findings into strategic planning insights for neighbourhood-based service planning.</w:t>
      </w:r>
    </w:p>
    <w:p>
      <w:pPr>
        <w:pStyle w:val="Heading1"/>
      </w:pPr>
      <w:r>
        <w:t>16. Recommended Production Enhancements</w:t>
      </w:r>
    </w:p>
    <w:p>
      <w:pPr>
        <w:pStyle w:val="ListBullet"/>
        <w:spacing w:after="40"/>
      </w:pPr>
      <w:r>
        <w:t>Replace sample data with governed, pseudonymised operational extracts where authorised.</w:t>
      </w:r>
    </w:p>
    <w:p>
      <w:pPr>
        <w:pStyle w:val="ListBullet"/>
        <w:spacing w:after="40"/>
      </w:pPr>
      <w:r>
        <w:t>Create a formal star schema with separate neighbourhood, time, deprivation and demand dimensions/facts.</w:t>
      </w:r>
    </w:p>
    <w:p>
      <w:pPr>
        <w:pStyle w:val="ListBullet"/>
        <w:spacing w:after="40"/>
      </w:pPr>
      <w:r>
        <w:t>Add data-quality checks for missing LSOAs, duplicate records, impossible values and denominator changes.</w:t>
      </w:r>
    </w:p>
    <w:p>
      <w:pPr>
        <w:pStyle w:val="ListBullet"/>
        <w:spacing w:after="40"/>
      </w:pPr>
      <w:r>
        <w:t>Add statistical uncertainty or suppression rules for small-area rates.</w:t>
      </w:r>
    </w:p>
    <w:p>
      <w:pPr>
        <w:pStyle w:val="ListBullet"/>
        <w:spacing w:after="40"/>
      </w:pPr>
      <w:r>
        <w:t>Validate forecasts using backtesting and report error metrics.</w:t>
      </w:r>
    </w:p>
    <w:p>
      <w:pPr>
        <w:pStyle w:val="ListBullet"/>
        <w:spacing w:after="40"/>
      </w:pPr>
      <w:r>
        <w:t>Add drill-through from city-level KPIs to neighbourhood profiles.</w:t>
      </w:r>
    </w:p>
    <w:p>
      <w:pPr>
        <w:pStyle w:val="ListBullet"/>
        <w:spacing w:after="40"/>
      </w:pPr>
      <w:r>
        <w:t>Introduce demographic segmentation where lawful and analytically justified.</w:t>
      </w:r>
    </w:p>
    <w:p>
      <w:pPr>
        <w:pStyle w:val="ListBullet"/>
        <w:spacing w:after="40"/>
      </w:pPr>
      <w:r>
        <w:t>Add refresh monitoring and documented data ownership.</w:t>
      </w:r>
    </w:p>
    <w:p>
      <w:pPr>
        <w:pStyle w:val="ListBullet"/>
        <w:spacing w:after="40"/>
      </w:pPr>
      <w:r>
        <w:t>Create a data dictionary and metric definitions for every KPI.</w:t>
      </w:r>
    </w:p>
    <w:p>
      <w:pPr>
        <w:pStyle w:val="ListBullet"/>
        <w:spacing w:after="40"/>
      </w:pPr>
      <w:r>
        <w:t>Implement accessibility review for dashboard contrast, keyboard navigation and alternative text.</w:t>
      </w:r>
    </w:p>
    <w:p>
      <w:pPr>
        <w:pStyle w:val="Heading1"/>
      </w:pPr>
      <w:r>
        <w:t>17. Conclusion</w:t>
      </w:r>
    </w:p>
    <w:p>
      <w:r>
        <w:t>ASC Neighbourhood Intelligence demonstrates a complete analytical workflow from raw public-sector-style datasets to neighbourhood-level insight and forward planning. Its strongest feature is the combination of population-adjusted demand, deprivation analysis and time-series forecasting in a single decision-support narrative. The project also records practical troubleshooting and dashboard-design decisions, making it suitable as evidence of data analysis, Power BI, Python and strategic public-service analytics capability.</w:t>
      </w:r>
    </w:p>
    <w:p>
      <w:pPr>
        <w:pStyle w:val="Callout"/>
      </w:pPr>
      <w:r>
        <w:t>This consolidated document is based on the recorded project build and outputs available in the conversation history. Where implementation details were not preserved—particularly the exact statistical specification of the Power BI forecast—the document states that limitation rather than inventing unsupported technical detail.</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ASC Neighbourhood Intelligence | Complete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546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20"/>
      <w:ind w:left="288" w:right="288"/>
    </w:pPr>
    <w:rPr>
      <w:rFonts w:ascii="Aptos" w:hAnsi="Aptos"/>
      <w:i/>
      <w:color w:val="44546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