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SEVERITY AND CASE CLASSIFICATION OF ADVERSE DRUG REACTIONS</w:t>
      </w:r>
    </w:p>
    <w:p>
      <w:pPr>
        <w:jc w:val="center"/>
      </w:pPr>
      <w:r>
        <w:rPr>
          <w:b/>
          <w:sz w:val="26"/>
        </w:rPr>
        <w:t>Pharmacovigilance Project Report</w:t>
      </w:r>
    </w:p>
    <w:p>
      <w:pPr>
        <w:pStyle w:val="Heading1"/>
      </w:pPr>
      <w:r>
        <w:t>Abstract</w:t>
      </w:r>
    </w:p>
    <w:p>
      <w:r>
        <w:t>Adverse drug reactions can range from short-lived discomfort to events that need urgent medical care. For this reason, pharmacovigilance teams do not classify every reaction in the same way. This project examines five fictional patient situations and separates three commonly confused concepts: severity, seriousness and expectedness. The cases were reviewed from the information available in each scenario, including the reaction, treatment given, outcome and effect on the patient. The exercise shows how the same word, such as severe, should not automatically be interpreted as a regulatory serious case.</w:t>
      </w:r>
    </w:p>
    <w:p>
      <w:pPr>
        <w:pStyle w:val="Heading1"/>
      </w:pPr>
      <w:r>
        <w:t>1. Introduction</w:t>
      </w:r>
    </w:p>
    <w:p>
      <w:r>
        <w:t>Medicines are used to prevent, diagnose and treat disease, but unwanted reactions may occur during their use. Pharmacovigilance provides a systematic way to collect and evaluate such safety information. A useful part of this work is the classification of individual cases. The intensity of a symptom, the regulatory seriousness of an event and whether the event is already described in safety information are separate questions. Keeping these assessments separate helps produce clearer safety records and more consistent case review.</w:t>
      </w:r>
    </w:p>
    <w:p>
      <w:pPr>
        <w:pStyle w:val="Heading1"/>
      </w:pPr>
      <w:r>
        <w:t>2. Aim</w:t>
      </w:r>
    </w:p>
    <w:p>
      <w:r>
        <w:t>To assess hypothetical adverse drug reaction cases and classify them according to severity, seriousness, expectedness and overall clinical impact.</w:t>
      </w:r>
    </w:p>
    <w:p>
      <w:pPr>
        <w:pStyle w:val="Heading1"/>
      </w:pPr>
      <w:r>
        <w:t>3. Objectives</w:t>
      </w:r>
    </w:p>
    <w:p>
      <w:r>
        <w:t>1. Explain severity and seriousness as separate concepts.</w:t>
      </w:r>
    </w:p>
    <w:p>
      <w:r>
        <w:t>2. Review whether individual cases meet commonly used seriousness criteria.</w:t>
      </w:r>
    </w:p>
    <w:p>
      <w:r>
        <w:t>3. Assess expectedness against the relevant safety information.</w:t>
      </w:r>
    </w:p>
    <w:p>
      <w:r>
        <w:t>4. Consider treatment, outcome and clinical consequences.</w:t>
      </w:r>
    </w:p>
    <w:p>
      <w:r>
        <w:t>5. Practice a consistent approach to individual case assessment.</w:t>
      </w:r>
    </w:p>
    <w:p>
      <w:pPr>
        <w:pStyle w:val="Heading1"/>
      </w:pPr>
      <w:r>
        <w:t>4. Basic Concepts</w:t>
      </w:r>
    </w:p>
    <w:p>
      <w:r>
        <w:t>Severity describes how intense a reported reaction is. In simple terms, a reaction may be mild, moderate or severe. Seriousness is different: it is linked to defined outcomes such as death, a life-threatening situation, hospitalization or prolonged hospitalization, significant disability, congenital anomaly, or another medically important situation. Expectedness asks whether the reaction is consistent with the applicable product safety information. These three assessments should not be merged into one judgement.</w:t>
      </w:r>
    </w:p>
    <w:p>
      <w:pPr>
        <w:pStyle w:val="Heading1"/>
      </w:pPr>
      <w:r>
        <w:t>5. Method Used</w:t>
      </w:r>
    </w:p>
    <w:p>
      <w:r>
        <w:t>Five fictional cases were prepared for this exercise. For each case, the suspected product, reaction, intensity, seriousness, expectedness, intervention and outcome were considered. Where the information does not allow a firm conclusion, the report deliberately identifies the assessment as case-dependent instead of making an unsupported assumption. In actual safety work, the full case narrative and applicable reference safety information would be reviewed before the final classification.</w:t>
      </w:r>
    </w:p>
    <w:p>
      <w:pPr>
        <w:pStyle w:val="Heading1"/>
      </w:pPr>
      <w:r>
        <w:t>6. Case Evaluation</w:t>
      </w:r>
    </w:p>
    <w:p>
      <w:pPr>
        <w:pStyle w:val="Heading2"/>
      </w:pPr>
      <w:r>
        <w:t>Case 1 – Headache After Treatment</w:t>
      </w:r>
    </w:p>
    <w:p>
      <w:r>
        <w:t>A 35-year-old patient developed a mild headache two days after starting an oral medicine. The patient continued normal activities and did not need additional treatment. The symptom settled after the treatment course.</w:t>
      </w:r>
    </w:p>
    <w:tbl>
      <w:tblPr>
        <w:tblStyle w:val="TableGrid"/>
        <w:tblW w:type="auto" w:w="0"/>
        <w:tblLook w:firstColumn="1" w:firstRow="1" w:lastColumn="0" w:lastRow="0" w:noHBand="0" w:noVBand="1" w:val="04A0"/>
      </w:tblPr>
      <w:tblGrid>
        <w:gridCol w:w="4824"/>
        <w:gridCol w:w="4824"/>
      </w:tblGrid>
      <w:tr>
        <w:tc>
          <w:tcPr>
            <w:tcW w:type="dxa" w:w="4824"/>
          </w:tcPr>
          <w:p>
            <w:r>
              <w:t>Assessment point</w:t>
            </w:r>
          </w:p>
        </w:tc>
        <w:tc>
          <w:tcPr>
            <w:tcW w:type="dxa" w:w="4824"/>
          </w:tcPr>
          <w:p>
            <w:r>
              <w:t>Finding</w:t>
            </w:r>
          </w:p>
        </w:tc>
      </w:tr>
      <w:tr>
        <w:tc>
          <w:tcPr>
            <w:tcW w:type="dxa" w:w="4824"/>
          </w:tcPr>
          <w:p>
            <w:r>
              <w:t>Severity</w:t>
            </w:r>
          </w:p>
        </w:tc>
        <w:tc>
          <w:tcPr>
            <w:tcW w:type="dxa" w:w="4824"/>
          </w:tcPr>
          <w:p>
            <w:r>
              <w:t>Mild</w:t>
            </w:r>
          </w:p>
        </w:tc>
      </w:tr>
      <w:tr>
        <w:tc>
          <w:tcPr>
            <w:tcW w:type="dxa" w:w="4824"/>
          </w:tcPr>
          <w:p>
            <w:r>
              <w:t>Seriousness</w:t>
            </w:r>
          </w:p>
        </w:tc>
        <w:tc>
          <w:tcPr>
            <w:tcW w:type="dxa" w:w="4824"/>
          </w:tcPr>
          <w:p>
            <w:r>
              <w:t>Non-serious</w:t>
            </w:r>
          </w:p>
        </w:tc>
      </w:tr>
      <w:tr>
        <w:tc>
          <w:tcPr>
            <w:tcW w:type="dxa" w:w="4824"/>
          </w:tcPr>
          <w:p>
            <w:r>
              <w:t>Expectedness</w:t>
            </w:r>
          </w:p>
        </w:tc>
        <w:tc>
          <w:tcPr>
            <w:tcW w:type="dxa" w:w="4824"/>
          </w:tcPr>
          <w:p>
            <w:r>
              <w:t>Expected if described in the applicable safety information</w:t>
            </w:r>
          </w:p>
        </w:tc>
      </w:tr>
      <w:tr>
        <w:tc>
          <w:tcPr>
            <w:tcW w:type="dxa" w:w="4824"/>
          </w:tcPr>
          <w:p>
            <w:r>
              <w:t>Intervention</w:t>
            </w:r>
          </w:p>
        </w:tc>
        <w:tc>
          <w:tcPr>
            <w:tcW w:type="dxa" w:w="4824"/>
          </w:tcPr>
          <w:p>
            <w:r>
              <w:t>No specific treatment</w:t>
            </w:r>
          </w:p>
        </w:tc>
      </w:tr>
      <w:tr>
        <w:tc>
          <w:tcPr>
            <w:tcW w:type="dxa" w:w="4824"/>
          </w:tcPr>
          <w:p>
            <w:r>
              <w:t>Outcome</w:t>
            </w:r>
          </w:p>
        </w:tc>
        <w:tc>
          <w:tcPr>
            <w:tcW w:type="dxa" w:w="4824"/>
          </w:tcPr>
          <w:p>
            <w:r>
              <w:t>Recovered</w:t>
            </w:r>
          </w:p>
        </w:tc>
      </w:tr>
      <w:tr>
        <w:tc>
          <w:tcPr>
            <w:tcW w:type="dxa" w:w="4824"/>
          </w:tcPr>
          <w:p>
            <w:r>
              <w:t>Clinical impact</w:t>
            </w:r>
          </w:p>
        </w:tc>
        <w:tc>
          <w:tcPr>
            <w:tcW w:type="dxa" w:w="4824"/>
          </w:tcPr>
          <w:p>
            <w:r>
              <w:t>Low</w:t>
            </w:r>
          </w:p>
        </w:tc>
      </w:tr>
    </w:tbl>
    <w:p>
      <w:r>
        <w:t>Case interpretation: The event is mild because the symptoms had little effect on the patient and required no intervention. No seriousness criterion is described.</w:t>
      </w:r>
    </w:p>
    <w:p>
      <w:pPr>
        <w:pStyle w:val="Heading2"/>
      </w:pPr>
      <w:r>
        <w:t>Case 2 – Repeated Vomiting</w:t>
      </w:r>
    </w:p>
    <w:p>
      <w:r>
        <w:t>A patient taking an oral medicine developed repeated vomiting and temporarily had difficulty maintaining oral intake. A healthcare professional provided an antiemetic and fluids. The patient was treated without admission and subsequently recovered.</w:t>
      </w:r>
    </w:p>
    <w:tbl>
      <w:tblPr>
        <w:tblStyle w:val="TableGrid"/>
        <w:tblW w:type="auto" w:w="0"/>
        <w:tblLook w:firstColumn="1" w:firstRow="1" w:lastColumn="0" w:lastRow="0" w:noHBand="0" w:noVBand="1" w:val="04A0"/>
      </w:tblPr>
      <w:tblGrid>
        <w:gridCol w:w="4824"/>
        <w:gridCol w:w="4824"/>
      </w:tblGrid>
      <w:tr>
        <w:tc>
          <w:tcPr>
            <w:tcW w:type="dxa" w:w="4824"/>
          </w:tcPr>
          <w:p>
            <w:r>
              <w:t>Assessment point</w:t>
            </w:r>
          </w:p>
        </w:tc>
        <w:tc>
          <w:tcPr>
            <w:tcW w:type="dxa" w:w="4824"/>
          </w:tcPr>
          <w:p>
            <w:r>
              <w:t>Finding</w:t>
            </w:r>
          </w:p>
        </w:tc>
      </w:tr>
      <w:tr>
        <w:tc>
          <w:tcPr>
            <w:tcW w:type="dxa" w:w="4824"/>
          </w:tcPr>
          <w:p>
            <w:r>
              <w:t>Severity</w:t>
            </w:r>
          </w:p>
        </w:tc>
        <w:tc>
          <w:tcPr>
            <w:tcW w:type="dxa" w:w="4824"/>
          </w:tcPr>
          <w:p>
            <w:r>
              <w:t>Severe</w:t>
            </w:r>
          </w:p>
        </w:tc>
      </w:tr>
      <w:tr>
        <w:tc>
          <w:tcPr>
            <w:tcW w:type="dxa" w:w="4824"/>
          </w:tcPr>
          <w:p>
            <w:r>
              <w:t>Seriousness</w:t>
            </w:r>
          </w:p>
        </w:tc>
        <w:tc>
          <w:tcPr>
            <w:tcW w:type="dxa" w:w="4824"/>
          </w:tcPr>
          <w:p>
            <w:r>
              <w:t>Non-serious in this scenario</w:t>
            </w:r>
          </w:p>
        </w:tc>
      </w:tr>
      <w:tr>
        <w:tc>
          <w:tcPr>
            <w:tcW w:type="dxa" w:w="4824"/>
          </w:tcPr>
          <w:p>
            <w:r>
              <w:t>Expectedness</w:t>
            </w:r>
          </w:p>
        </w:tc>
        <w:tc>
          <w:tcPr>
            <w:tcW w:type="dxa" w:w="4824"/>
          </w:tcPr>
          <w:p>
            <w:r>
              <w:t>Expected if consistent with applicable safety information</w:t>
            </w:r>
          </w:p>
        </w:tc>
      </w:tr>
      <w:tr>
        <w:tc>
          <w:tcPr>
            <w:tcW w:type="dxa" w:w="4824"/>
          </w:tcPr>
          <w:p>
            <w:r>
              <w:t>Intervention</w:t>
            </w:r>
          </w:p>
        </w:tc>
        <w:tc>
          <w:tcPr>
            <w:tcW w:type="dxa" w:w="4824"/>
          </w:tcPr>
          <w:p>
            <w:r>
              <w:t>Antiemetic and fluids</w:t>
            </w:r>
          </w:p>
        </w:tc>
      </w:tr>
      <w:tr>
        <w:tc>
          <w:tcPr>
            <w:tcW w:type="dxa" w:w="4824"/>
          </w:tcPr>
          <w:p>
            <w:r>
              <w:t>Outcome</w:t>
            </w:r>
          </w:p>
        </w:tc>
        <w:tc>
          <w:tcPr>
            <w:tcW w:type="dxa" w:w="4824"/>
          </w:tcPr>
          <w:p>
            <w:r>
              <w:t>Recovered</w:t>
            </w:r>
          </w:p>
        </w:tc>
      </w:tr>
      <w:tr>
        <w:tc>
          <w:tcPr>
            <w:tcW w:type="dxa" w:w="4824"/>
          </w:tcPr>
          <w:p>
            <w:r>
              <w:t>Clinical impact</w:t>
            </w:r>
          </w:p>
        </w:tc>
        <w:tc>
          <w:tcPr>
            <w:tcW w:type="dxa" w:w="4824"/>
          </w:tcPr>
          <w:p>
            <w:r>
              <w:t>Moderate</w:t>
            </w:r>
          </w:p>
        </w:tc>
      </w:tr>
    </w:tbl>
    <w:p>
      <w:r>
        <w:t>Case interpretation: The symptoms were intense enough to be described as severe, but the scenario does not report hospitalization or another qualifying seriousness outcome. This illustrates why severity and seriousness must be assessed separately.</w:t>
      </w:r>
    </w:p>
    <w:p>
      <w:pPr>
        <w:pStyle w:val="Heading2"/>
      </w:pPr>
      <w:r>
        <w:t>Case 3 – Anaphylactic Reaction</w:t>
      </w:r>
    </w:p>
    <w:p>
      <w:r>
        <w:t>Soon after receiving an injectable medicine, a patient developed breathing difficulty, facial swelling and a marked fall in blood pressure. Emergency treatment was provided and the patient was admitted for observation and further care.</w:t>
      </w:r>
    </w:p>
    <w:tbl>
      <w:tblPr>
        <w:tblStyle w:val="TableGrid"/>
        <w:tblW w:type="auto" w:w="0"/>
        <w:tblLook w:firstColumn="1" w:firstRow="1" w:lastColumn="0" w:lastRow="0" w:noHBand="0" w:noVBand="1" w:val="04A0"/>
      </w:tblPr>
      <w:tblGrid>
        <w:gridCol w:w="4824"/>
        <w:gridCol w:w="4824"/>
      </w:tblGrid>
      <w:tr>
        <w:tc>
          <w:tcPr>
            <w:tcW w:type="dxa" w:w="4824"/>
          </w:tcPr>
          <w:p>
            <w:r>
              <w:t>Assessment point</w:t>
            </w:r>
          </w:p>
        </w:tc>
        <w:tc>
          <w:tcPr>
            <w:tcW w:type="dxa" w:w="4824"/>
          </w:tcPr>
          <w:p>
            <w:r>
              <w:t>Finding</w:t>
            </w:r>
          </w:p>
        </w:tc>
      </w:tr>
      <w:tr>
        <w:tc>
          <w:tcPr>
            <w:tcW w:type="dxa" w:w="4824"/>
          </w:tcPr>
          <w:p>
            <w:r>
              <w:t>Severity</w:t>
            </w:r>
          </w:p>
        </w:tc>
        <w:tc>
          <w:tcPr>
            <w:tcW w:type="dxa" w:w="4824"/>
          </w:tcPr>
          <w:p>
            <w:r>
              <w:t>Severe</w:t>
            </w:r>
          </w:p>
        </w:tc>
      </w:tr>
      <w:tr>
        <w:tc>
          <w:tcPr>
            <w:tcW w:type="dxa" w:w="4824"/>
          </w:tcPr>
          <w:p>
            <w:r>
              <w:t>Seriousness</w:t>
            </w:r>
          </w:p>
        </w:tc>
        <w:tc>
          <w:tcPr>
            <w:tcW w:type="dxa" w:w="4824"/>
          </w:tcPr>
          <w:p>
            <w:r>
              <w:t>Serious</w:t>
            </w:r>
          </w:p>
        </w:tc>
      </w:tr>
      <w:tr>
        <w:tc>
          <w:tcPr>
            <w:tcW w:type="dxa" w:w="4824"/>
          </w:tcPr>
          <w:p>
            <w:r>
              <w:t>Expectedness</w:t>
            </w:r>
          </w:p>
        </w:tc>
        <w:tc>
          <w:tcPr>
            <w:tcW w:type="dxa" w:w="4824"/>
          </w:tcPr>
          <w:p>
            <w:r>
              <w:t>Requires comparison with applicable safety information</w:t>
            </w:r>
          </w:p>
        </w:tc>
      </w:tr>
      <w:tr>
        <w:tc>
          <w:tcPr>
            <w:tcW w:type="dxa" w:w="4824"/>
          </w:tcPr>
          <w:p>
            <w:r>
              <w:t>Intervention</w:t>
            </w:r>
          </w:p>
        </w:tc>
        <w:tc>
          <w:tcPr>
            <w:tcW w:type="dxa" w:w="4824"/>
          </w:tcPr>
          <w:p>
            <w:r>
              <w:t>Emergency treatment and hospitalization</w:t>
            </w:r>
          </w:p>
        </w:tc>
      </w:tr>
      <w:tr>
        <w:tc>
          <w:tcPr>
            <w:tcW w:type="dxa" w:w="4824"/>
          </w:tcPr>
          <w:p>
            <w:r>
              <w:t>Outcome</w:t>
            </w:r>
          </w:p>
        </w:tc>
        <w:tc>
          <w:tcPr>
            <w:tcW w:type="dxa" w:w="4824"/>
          </w:tcPr>
          <w:p>
            <w:r>
              <w:t>Recovered</w:t>
            </w:r>
          </w:p>
        </w:tc>
      </w:tr>
      <w:tr>
        <w:tc>
          <w:tcPr>
            <w:tcW w:type="dxa" w:w="4824"/>
          </w:tcPr>
          <w:p>
            <w:r>
              <w:t>Clinical impact</w:t>
            </w:r>
          </w:p>
        </w:tc>
        <w:tc>
          <w:tcPr>
            <w:tcW w:type="dxa" w:w="4824"/>
          </w:tcPr>
          <w:p>
            <w:r>
              <w:t>High</w:t>
            </w:r>
          </w:p>
        </w:tc>
      </w:tr>
    </w:tbl>
    <w:p>
      <w:r>
        <w:t>Case interpretation: The immediate clinical risk was substantial and hospitalization occurred. The case therefore meets a seriousness criterion. Expectedness cannot be decided from the symptoms alone.</w:t>
      </w:r>
    </w:p>
    <w:p>
      <w:pPr>
        <w:pStyle w:val="Heading2"/>
      </w:pPr>
      <w:r>
        <w:t>Case 4 – Liver Injury</w:t>
      </w:r>
    </w:p>
    <w:p>
      <w:r>
        <w:t>During treatment for a chronic condition, a patient developed a marked rise in liver enzymes. After clinical review, the suspected medicine was stopped and the patient underwent additional testing and follow-up. Liver function later improved.</w:t>
      </w:r>
    </w:p>
    <w:tbl>
      <w:tblPr>
        <w:tblStyle w:val="TableGrid"/>
        <w:tblW w:type="auto" w:w="0"/>
        <w:tblLook w:firstColumn="1" w:firstRow="1" w:lastColumn="0" w:lastRow="0" w:noHBand="0" w:noVBand="1" w:val="04A0"/>
      </w:tblPr>
      <w:tblGrid>
        <w:gridCol w:w="4824"/>
        <w:gridCol w:w="4824"/>
      </w:tblGrid>
      <w:tr>
        <w:tc>
          <w:tcPr>
            <w:tcW w:type="dxa" w:w="4824"/>
          </w:tcPr>
          <w:p>
            <w:r>
              <w:t>Assessment point</w:t>
            </w:r>
          </w:p>
        </w:tc>
        <w:tc>
          <w:tcPr>
            <w:tcW w:type="dxa" w:w="4824"/>
          </w:tcPr>
          <w:p>
            <w:r>
              <w:t>Finding</w:t>
            </w:r>
          </w:p>
        </w:tc>
      </w:tr>
      <w:tr>
        <w:tc>
          <w:tcPr>
            <w:tcW w:type="dxa" w:w="4824"/>
          </w:tcPr>
          <w:p>
            <w:r>
              <w:t>Severity</w:t>
            </w:r>
          </w:p>
        </w:tc>
        <w:tc>
          <w:tcPr>
            <w:tcW w:type="dxa" w:w="4824"/>
          </w:tcPr>
          <w:p>
            <w:r>
              <w:t>Severe</w:t>
            </w:r>
          </w:p>
        </w:tc>
      </w:tr>
      <w:tr>
        <w:tc>
          <w:tcPr>
            <w:tcW w:type="dxa" w:w="4824"/>
          </w:tcPr>
          <w:p>
            <w:r>
              <w:t>Seriousness</w:t>
            </w:r>
          </w:p>
        </w:tc>
        <w:tc>
          <w:tcPr>
            <w:tcW w:type="dxa" w:w="4824"/>
          </w:tcPr>
          <w:p>
            <w:r>
              <w:t>Case-dependent</w:t>
            </w:r>
          </w:p>
        </w:tc>
      </w:tr>
      <w:tr>
        <w:tc>
          <w:tcPr>
            <w:tcW w:type="dxa" w:w="4824"/>
          </w:tcPr>
          <w:p>
            <w:r>
              <w:t>Expectedness</w:t>
            </w:r>
          </w:p>
        </w:tc>
        <w:tc>
          <w:tcPr>
            <w:tcW w:type="dxa" w:w="4824"/>
          </w:tcPr>
          <w:p>
            <w:r>
              <w:t>Requires comparison with applicable safety information</w:t>
            </w:r>
          </w:p>
        </w:tc>
      </w:tr>
      <w:tr>
        <w:tc>
          <w:tcPr>
            <w:tcW w:type="dxa" w:w="4824"/>
          </w:tcPr>
          <w:p>
            <w:r>
              <w:t>Intervention</w:t>
            </w:r>
          </w:p>
        </w:tc>
        <w:tc>
          <w:tcPr>
            <w:tcW w:type="dxa" w:w="4824"/>
          </w:tcPr>
          <w:p>
            <w:r>
              <w:t>Drug withdrawal, investigation and monitoring</w:t>
            </w:r>
          </w:p>
        </w:tc>
      </w:tr>
      <w:tr>
        <w:tc>
          <w:tcPr>
            <w:tcW w:type="dxa" w:w="4824"/>
          </w:tcPr>
          <w:p>
            <w:r>
              <w:t>Outcome</w:t>
            </w:r>
          </w:p>
        </w:tc>
        <w:tc>
          <w:tcPr>
            <w:tcW w:type="dxa" w:w="4824"/>
          </w:tcPr>
          <w:p>
            <w:r>
              <w:t>Improving/recovered</w:t>
            </w:r>
          </w:p>
        </w:tc>
      </w:tr>
      <w:tr>
        <w:tc>
          <w:tcPr>
            <w:tcW w:type="dxa" w:w="4824"/>
          </w:tcPr>
          <w:p>
            <w:r>
              <w:t>Clinical impact</w:t>
            </w:r>
          </w:p>
        </w:tc>
        <w:tc>
          <w:tcPr>
            <w:tcW w:type="dxa" w:w="4824"/>
          </w:tcPr>
          <w:p>
            <w:r>
              <w:t>Moderate–high</w:t>
            </w:r>
          </w:p>
        </w:tc>
      </w:tr>
    </w:tbl>
    <w:p>
      <w:r>
        <w:t>Case interpretation: The abnormality may be clinically important, but laboratory severity by itself does not establish regulatory seriousness. The final assessment depends on the patient's clinical condition, intervention and outcome.</w:t>
      </w:r>
    </w:p>
    <w:p>
      <w:pPr>
        <w:pStyle w:val="Heading2"/>
      </w:pPr>
      <w:r>
        <w:t>Case 5 – Congenital Anomaly</w:t>
      </w:r>
    </w:p>
    <w:p>
      <w:r>
        <w:t>A pregnant patient was exposed to a medicinal product during pregnancy. After delivery, the newborn was found to have a structural congenital abnormality and was referred for specialist assessment and follow-up.</w:t>
      </w:r>
    </w:p>
    <w:tbl>
      <w:tblPr>
        <w:tblStyle w:val="TableGrid"/>
        <w:tblW w:type="auto" w:w="0"/>
        <w:tblLook w:firstColumn="1" w:firstRow="1" w:lastColumn="0" w:lastRow="0" w:noHBand="0" w:noVBand="1" w:val="04A0"/>
      </w:tblPr>
      <w:tblGrid>
        <w:gridCol w:w="4824"/>
        <w:gridCol w:w="4824"/>
      </w:tblGrid>
      <w:tr>
        <w:tc>
          <w:tcPr>
            <w:tcW w:type="dxa" w:w="4824"/>
          </w:tcPr>
          <w:p>
            <w:r>
              <w:t>Assessment point</w:t>
            </w:r>
          </w:p>
        </w:tc>
        <w:tc>
          <w:tcPr>
            <w:tcW w:type="dxa" w:w="4824"/>
          </w:tcPr>
          <w:p>
            <w:r>
              <w:t>Finding</w:t>
            </w:r>
          </w:p>
        </w:tc>
      </w:tr>
      <w:tr>
        <w:tc>
          <w:tcPr>
            <w:tcW w:type="dxa" w:w="4824"/>
          </w:tcPr>
          <w:p>
            <w:r>
              <w:t>Severity</w:t>
            </w:r>
          </w:p>
        </w:tc>
        <w:tc>
          <w:tcPr>
            <w:tcW w:type="dxa" w:w="4824"/>
          </w:tcPr>
          <w:p>
            <w:r>
              <w:t>Clinically significant</w:t>
            </w:r>
          </w:p>
        </w:tc>
      </w:tr>
      <w:tr>
        <w:tc>
          <w:tcPr>
            <w:tcW w:type="dxa" w:w="4824"/>
          </w:tcPr>
          <w:p>
            <w:r>
              <w:t>Seriousness</w:t>
            </w:r>
          </w:p>
        </w:tc>
        <w:tc>
          <w:tcPr>
            <w:tcW w:type="dxa" w:w="4824"/>
          </w:tcPr>
          <w:p>
            <w:r>
              <w:t>Serious</w:t>
            </w:r>
          </w:p>
        </w:tc>
      </w:tr>
      <w:tr>
        <w:tc>
          <w:tcPr>
            <w:tcW w:type="dxa" w:w="4824"/>
          </w:tcPr>
          <w:p>
            <w:r>
              <w:t>Expectedness</w:t>
            </w:r>
          </w:p>
        </w:tc>
        <w:tc>
          <w:tcPr>
            <w:tcW w:type="dxa" w:w="4824"/>
          </w:tcPr>
          <w:p>
            <w:r>
              <w:t>Requires comparison with applicable safety information</w:t>
            </w:r>
          </w:p>
        </w:tc>
      </w:tr>
      <w:tr>
        <w:tc>
          <w:tcPr>
            <w:tcW w:type="dxa" w:w="4824"/>
          </w:tcPr>
          <w:p>
            <w:r>
              <w:t>Intervention</w:t>
            </w:r>
          </w:p>
        </w:tc>
        <w:tc>
          <w:tcPr>
            <w:tcW w:type="dxa" w:w="4824"/>
          </w:tcPr>
          <w:p>
            <w:r>
              <w:t>Specialist assessment</w:t>
            </w:r>
          </w:p>
        </w:tc>
      </w:tr>
      <w:tr>
        <w:tc>
          <w:tcPr>
            <w:tcW w:type="dxa" w:w="4824"/>
          </w:tcPr>
          <w:p>
            <w:r>
              <w:t>Outcome</w:t>
            </w:r>
          </w:p>
        </w:tc>
        <w:tc>
          <w:tcPr>
            <w:tcW w:type="dxa" w:w="4824"/>
          </w:tcPr>
          <w:p>
            <w:r>
              <w:t>Follow-up ongoing</w:t>
            </w:r>
          </w:p>
        </w:tc>
      </w:tr>
      <w:tr>
        <w:tc>
          <w:tcPr>
            <w:tcW w:type="dxa" w:w="4824"/>
          </w:tcPr>
          <w:p>
            <w:r>
              <w:t>Clinical impact</w:t>
            </w:r>
          </w:p>
        </w:tc>
        <w:tc>
          <w:tcPr>
            <w:tcW w:type="dxa" w:w="4824"/>
          </w:tcPr>
          <w:p>
            <w:r>
              <w:t>High</w:t>
            </w:r>
          </w:p>
        </w:tc>
      </w:tr>
    </w:tbl>
    <w:p>
      <w:r>
        <w:t>Case interpretation: A congenital anomaly is a recognized seriousness criterion. The expectedness assessment requires review of the relevant safety information and the exact event description.</w:t>
      </w:r>
    </w:p>
    <w:p>
      <w:pPr>
        <w:pStyle w:val="Heading1"/>
      </w:pPr>
      <w:r>
        <w:t>7. Comparison of Cases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t>Case</w:t>
            </w:r>
          </w:p>
        </w:tc>
        <w:tc>
          <w:tcPr>
            <w:tcW w:type="dxa" w:w="1608"/>
          </w:tcPr>
          <w:p>
            <w:r>
              <w:t>Reaction</w:t>
            </w:r>
          </w:p>
        </w:tc>
        <w:tc>
          <w:tcPr>
            <w:tcW w:type="dxa" w:w="1608"/>
          </w:tcPr>
          <w:p>
            <w:r>
              <w:t>Severity</w:t>
            </w:r>
          </w:p>
        </w:tc>
        <w:tc>
          <w:tcPr>
            <w:tcW w:type="dxa" w:w="1608"/>
          </w:tcPr>
          <w:p>
            <w:r>
              <w:t>Seriousness</w:t>
            </w:r>
          </w:p>
        </w:tc>
        <w:tc>
          <w:tcPr>
            <w:tcW w:type="dxa" w:w="1608"/>
          </w:tcPr>
          <w:p>
            <w:r>
              <w:t>Expectedness</w:t>
            </w:r>
          </w:p>
        </w:tc>
        <w:tc>
          <w:tcPr>
            <w:tcW w:type="dxa" w:w="1608"/>
          </w:tcPr>
          <w:p>
            <w:r>
              <w:t>Impact</w:t>
            </w:r>
          </w:p>
        </w:tc>
      </w:tr>
      <w:tr>
        <w:tc>
          <w:tcPr>
            <w:tcW w:type="dxa" w:w="1608"/>
          </w:tcPr>
          <w:p>
            <w:r>
              <w:t>1</w:t>
            </w:r>
          </w:p>
        </w:tc>
        <w:tc>
          <w:tcPr>
            <w:tcW w:type="dxa" w:w="1608"/>
          </w:tcPr>
          <w:p>
            <w:r>
              <w:t>Headache After Treatment</w:t>
            </w:r>
          </w:p>
        </w:tc>
        <w:tc>
          <w:tcPr>
            <w:tcW w:type="dxa" w:w="1608"/>
          </w:tcPr>
          <w:p>
            <w:r>
              <w:t>Mild</w:t>
            </w:r>
          </w:p>
        </w:tc>
        <w:tc>
          <w:tcPr>
            <w:tcW w:type="dxa" w:w="1608"/>
          </w:tcPr>
          <w:p>
            <w:r>
              <w:t>Non-serious</w:t>
            </w:r>
          </w:p>
        </w:tc>
        <w:tc>
          <w:tcPr>
            <w:tcW w:type="dxa" w:w="1608"/>
          </w:tcPr>
          <w:p>
            <w:r>
              <w:t>Expected if described in the applicable safety information</w:t>
            </w:r>
          </w:p>
        </w:tc>
        <w:tc>
          <w:tcPr>
            <w:tcW w:type="dxa" w:w="1608"/>
          </w:tcPr>
          <w:p>
            <w:r>
              <w:t>Low</w:t>
            </w:r>
          </w:p>
        </w:tc>
      </w:tr>
      <w:tr>
        <w:tc>
          <w:tcPr>
            <w:tcW w:type="dxa" w:w="1608"/>
          </w:tcPr>
          <w:p>
            <w:r>
              <w:t>2</w:t>
            </w:r>
          </w:p>
        </w:tc>
        <w:tc>
          <w:tcPr>
            <w:tcW w:type="dxa" w:w="1608"/>
          </w:tcPr>
          <w:p>
            <w:r>
              <w:t>Repeated Vomiting</w:t>
            </w:r>
          </w:p>
        </w:tc>
        <w:tc>
          <w:tcPr>
            <w:tcW w:type="dxa" w:w="1608"/>
          </w:tcPr>
          <w:p>
            <w:r>
              <w:t>Severe</w:t>
            </w:r>
          </w:p>
        </w:tc>
        <w:tc>
          <w:tcPr>
            <w:tcW w:type="dxa" w:w="1608"/>
          </w:tcPr>
          <w:p>
            <w:r>
              <w:t>Non-serious in this scenario</w:t>
            </w:r>
          </w:p>
        </w:tc>
        <w:tc>
          <w:tcPr>
            <w:tcW w:type="dxa" w:w="1608"/>
          </w:tcPr>
          <w:p>
            <w:r>
              <w:t>Expected if consistent with applicable safety information</w:t>
            </w:r>
          </w:p>
        </w:tc>
        <w:tc>
          <w:tcPr>
            <w:tcW w:type="dxa" w:w="1608"/>
          </w:tcPr>
          <w:p>
            <w:r>
              <w:t>Moderate</w:t>
            </w:r>
          </w:p>
        </w:tc>
      </w:tr>
      <w:tr>
        <w:tc>
          <w:tcPr>
            <w:tcW w:type="dxa" w:w="1608"/>
          </w:tcPr>
          <w:p>
            <w:r>
              <w:t>3</w:t>
            </w:r>
          </w:p>
        </w:tc>
        <w:tc>
          <w:tcPr>
            <w:tcW w:type="dxa" w:w="1608"/>
          </w:tcPr>
          <w:p>
            <w:r>
              <w:t>Anaphylactic Reaction</w:t>
            </w:r>
          </w:p>
        </w:tc>
        <w:tc>
          <w:tcPr>
            <w:tcW w:type="dxa" w:w="1608"/>
          </w:tcPr>
          <w:p>
            <w:r>
              <w:t>Severe</w:t>
            </w:r>
          </w:p>
        </w:tc>
        <w:tc>
          <w:tcPr>
            <w:tcW w:type="dxa" w:w="1608"/>
          </w:tcPr>
          <w:p>
            <w:r>
              <w:t>Serious</w:t>
            </w:r>
          </w:p>
        </w:tc>
        <w:tc>
          <w:tcPr>
            <w:tcW w:type="dxa" w:w="1608"/>
          </w:tcPr>
          <w:p>
            <w:r>
              <w:t>Requires comparison with applicable safety information</w:t>
            </w:r>
          </w:p>
        </w:tc>
        <w:tc>
          <w:tcPr>
            <w:tcW w:type="dxa" w:w="1608"/>
          </w:tcPr>
          <w:p>
            <w:r>
              <w:t>High</w:t>
            </w:r>
          </w:p>
        </w:tc>
      </w:tr>
      <w:tr>
        <w:tc>
          <w:tcPr>
            <w:tcW w:type="dxa" w:w="1608"/>
          </w:tcPr>
          <w:p>
            <w:r>
              <w:t>4</w:t>
            </w:r>
          </w:p>
        </w:tc>
        <w:tc>
          <w:tcPr>
            <w:tcW w:type="dxa" w:w="1608"/>
          </w:tcPr>
          <w:p>
            <w:r>
              <w:t>Liver Injury</w:t>
            </w:r>
          </w:p>
        </w:tc>
        <w:tc>
          <w:tcPr>
            <w:tcW w:type="dxa" w:w="1608"/>
          </w:tcPr>
          <w:p>
            <w:r>
              <w:t>Severe</w:t>
            </w:r>
          </w:p>
        </w:tc>
        <w:tc>
          <w:tcPr>
            <w:tcW w:type="dxa" w:w="1608"/>
          </w:tcPr>
          <w:p>
            <w:r>
              <w:t>Case-dependent</w:t>
            </w:r>
          </w:p>
        </w:tc>
        <w:tc>
          <w:tcPr>
            <w:tcW w:type="dxa" w:w="1608"/>
          </w:tcPr>
          <w:p>
            <w:r>
              <w:t>Requires comparison with applicable safety information</w:t>
            </w:r>
          </w:p>
        </w:tc>
        <w:tc>
          <w:tcPr>
            <w:tcW w:type="dxa" w:w="1608"/>
          </w:tcPr>
          <w:p>
            <w:r>
              <w:t>Moderate–high</w:t>
            </w:r>
          </w:p>
        </w:tc>
      </w:tr>
      <w:tr>
        <w:tc>
          <w:tcPr>
            <w:tcW w:type="dxa" w:w="1608"/>
          </w:tcPr>
          <w:p>
            <w:r>
              <w:t>5</w:t>
            </w:r>
          </w:p>
        </w:tc>
        <w:tc>
          <w:tcPr>
            <w:tcW w:type="dxa" w:w="1608"/>
          </w:tcPr>
          <w:p>
            <w:r>
              <w:t>Congenital Anomaly</w:t>
            </w:r>
          </w:p>
        </w:tc>
        <w:tc>
          <w:tcPr>
            <w:tcW w:type="dxa" w:w="1608"/>
          </w:tcPr>
          <w:p>
            <w:r>
              <w:t>Clinically significant</w:t>
            </w:r>
          </w:p>
        </w:tc>
        <w:tc>
          <w:tcPr>
            <w:tcW w:type="dxa" w:w="1608"/>
          </w:tcPr>
          <w:p>
            <w:r>
              <w:t>Serious</w:t>
            </w:r>
          </w:p>
        </w:tc>
        <w:tc>
          <w:tcPr>
            <w:tcW w:type="dxa" w:w="1608"/>
          </w:tcPr>
          <w:p>
            <w:r>
              <w:t>Requires comparison with applicable safety information</w:t>
            </w:r>
          </w:p>
        </w:tc>
        <w:tc>
          <w:tcPr>
            <w:tcW w:type="dxa" w:w="1608"/>
          </w:tcPr>
          <w:p>
            <w:r>
              <w:t>High</w:t>
            </w:r>
          </w:p>
        </w:tc>
      </w:tr>
    </w:tbl>
    <w:p>
      <w:pPr>
        <w:pStyle w:val="Heading1"/>
      </w:pPr>
      <w:r>
        <w:t>8. Severity Versus Seriousness</w:t>
      </w:r>
    </w:p>
    <w:p>
      <w:r>
        <w:t>A severe symptom is not automatically a serious adverse event. For example, the vomiting case is severe in intensity but does not contain a qualifying seriousness outcome in the scenario. Conversely, seriousness can be established by an outcome such as congenital anomaly or hospitalization even when the wording used to describe the symptoms does not sound extreme.</w:t>
      </w:r>
    </w:p>
    <w:p>
      <w:pPr>
        <w:pStyle w:val="Heading1"/>
      </w:pPr>
      <w:r>
        <w:t>9. Expectedness Assessment</w:t>
      </w:r>
    </w:p>
    <w:p>
      <w:r>
        <w:t>Expectedness should be checked against the product information that is appropriate for the case. The reviewer should consider the nature and specificity of the reaction and, where applicable, its described severity. A serious reaction may still be expected if it is already appropriately described in the relevant safety information.</w:t>
      </w:r>
    </w:p>
    <w:p>
      <w:pPr>
        <w:pStyle w:val="Heading1"/>
      </w:pPr>
      <w:r>
        <w:t>10. Clinical Impact</w:t>
      </w:r>
    </w:p>
    <w:p>
      <w:r>
        <w:t>Clinical impact considers what the reaction meant for the patient. Factors include emergency treatment, admission, additional investigations, interruption of therapy, prolonged monitoring, permanent effects and risk to life. This is useful when deciding how much medical review and follow-up a case may require.</w:t>
      </w:r>
    </w:p>
    <w:p>
      <w:pPr>
        <w:pStyle w:val="Heading1"/>
      </w:pPr>
      <w:r>
        <w:t>11. Common Classification Mistakes</w:t>
      </w:r>
    </w:p>
    <w:p>
      <w:r>
        <w:t>Typical mistakes include using 'severe' and 'serious' as synonyms, assuming every hospitalization is the only way a case becomes serious, deciding expectedness from symptom intensity, and making a firm classification when important clinical information is missing. A good case review records uncertainty rather than filling gaps with assumptions.</w:t>
      </w:r>
    </w:p>
    <w:p>
      <w:pPr>
        <w:pStyle w:val="Heading1"/>
      </w:pPr>
      <w:r>
        <w:t>12. Case Processing Flow</w:t>
      </w:r>
    </w:p>
    <w:p>
      <w:r>
        <w:t>Receive case → check minimum information → identify patient and reporter details → identify suspected product → describe/categorize reaction → assess severity → assess seriousness → assess expectedness → review treatment and outcome → perform medical review → obtain follow-up information when needed → document and report according to applicable requirements.</w:t>
      </w:r>
    </w:p>
    <w:p>
      <w:pPr>
        <w:pStyle w:val="Heading1"/>
      </w:pPr>
      <w:r>
        <w:t>13. Discussion</w:t>
      </w:r>
    </w:p>
    <w:p>
      <w:r>
        <w:t>The five examples show why individual case assessment needs a structured approach. The first case has little clinical impact. The second demonstrates that a reaction can be severe without being serious. The third has high clinical importance because of emergency management and hospitalization. The fourth shows why a laboratory finding needs clinical context. The fifth demonstrates the seriousness associated with a congenital anomaly. Expectedness remains a separate question for every case.</w:t>
      </w:r>
    </w:p>
    <w:p>
      <w:pPr>
        <w:pStyle w:val="Heading1"/>
      </w:pPr>
      <w:r>
        <w:t>14. Conclusion</w:t>
      </w:r>
    </w:p>
    <w:p>
      <w:r>
        <w:t>ADR classification is not based on a single label. Severity describes intensity, seriousness is linked to defined clinical or regulatory outcomes, and expectedness is established by comparison with the appropriate safety information. Reviewing these elements separately gives a clearer picture of the case and supports consistent pharmacovigilance documentation and patient-safety decisions.</w:t>
      </w:r>
    </w:p>
    <w:p>
      <w:pPr>
        <w:pStyle w:val="Heading1"/>
      </w:pPr>
      <w:r>
        <w:t>15. References</w:t>
      </w:r>
    </w:p>
    <w:p>
      <w:r>
        <w:t>1. World Health Organization. Safety Monitoring of Medicinal Products: Guidelines for Setting Up and Running a Pharmacovigilance Centre.</w:t>
      </w:r>
    </w:p>
    <w:p>
      <w:r>
        <w:t>2. International Council for Harmonisation. E2A: Clinical Safety Data Management – Definitions and Standards for Expedited Reporting.</w:t>
      </w:r>
    </w:p>
    <w:p>
      <w:r>
        <w:t>3. International Council for Harmonisation. E2D: Post-Approval Safety Data Management – Definitions and Standards for Individual Case Safety Reports.</w:t>
      </w:r>
    </w:p>
    <w:p>
      <w:r>
        <w:t>4. International Council for Harmonisation. E2B(R3): Individual Case Safety Reports – Data Elements.</w:t>
      </w:r>
    </w:p>
    <w:p>
      <w:r>
        <w:t>5. European Medicines Agency. Good Pharmacovigilance Practices, Module VI: Collection, Management and Submission of Reports of Suspected Adverse Reactions to Medicinal Products.</w:t>
      </w:r>
    </w:p>
    <w:p>
      <w:r>
        <w:t>6. U.S. Food and Drug Administration. Guidance for Industry: E2A Clinical Safety Data Management.</w:t>
      </w:r>
    </w:p>
    <w:p>
      <w:r>
        <w:t>7. Ministry of Health and Family Welfare, Government of India. New Drugs and Clinical Trials Rules, 2019.</w:t>
      </w:r>
    </w:p>
    <w:p>
      <w:pPr>
        <w:pStyle w:val="Heading1"/>
      </w:pPr>
      <w:r>
        <w:t>Declaration</w:t>
      </w:r>
    </w:p>
    <w:p>
      <w:r>
        <w:t>The patient situations used in this project are fictional examples created for educational purposes. They are not based on identifiable patient records.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