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Blinkit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all the data imported: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43c0b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b"/>
          <w:sz w:val="24"/>
          <w:szCs w:val="24"/>
          <w:u w:val="single"/>
          <w:shd w:fill="auto" w:val="clear"/>
          <w:vertAlign w:val="baseline"/>
          <w:rtl w:val="0"/>
        </w:rPr>
        <w:t xml:space="preserve">DATA CLEANING: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Cleaning the Item_Fat_Content field ensures data consistency and accuracy in analysis. The presence of multiple variations of the same category (e.g., LF, low fat vs. </w:t>
      </w:r>
      <w:r w:rsidDel="00000000" w:rsidR="00000000" w:rsidRPr="00000000">
        <w:rPr>
          <w:sz w:val="24"/>
          <w:szCs w:val="24"/>
          <w:rtl w:val="0"/>
        </w:rPr>
        <w:t xml:space="preserve">low fat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can cause issues in reporting, aggregations, and filtering. By standardizing these values, we improve data quality, making it easier to generate insights and maintain uniformity in our datasets.</w:t>
      </w:r>
    </w:p>
    <w:p w:rsidR="00000000" w:rsidDel="00000000" w:rsidP="00000000" w:rsidRDefault="00000000" w:rsidRPr="00000000" w14:paraId="00000006">
      <w:pPr>
        <w:spacing w:after="0" w:line="360" w:lineRule="auto"/>
        <w:ind w:left="144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table blinkit  rename column `ï»¿Item Fat Content` to `Item Fat Content`;</w:t>
      </w:r>
    </w:p>
    <w:p w:rsidR="00000000" w:rsidDel="00000000" w:rsidP="00000000" w:rsidRDefault="00000000" w:rsidRPr="00000000" w14:paraId="00000007">
      <w:pPr>
        <w:spacing w:after="0" w:line="360" w:lineRule="auto"/>
        <w:ind w:left="144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blinkit set `Item Fat Content`= "Low Fat" where `Item Fat Content`='LF' or `Item Fat Content`='low fat';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blinkit set `Item Fat Content`= "Regular" where `Item Fat Content`='reg';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onsolas" w:cs="Consolas" w:eastAsia="Consolas" w:hAnsi="Consolas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executing this query, check if the data has been cleaned or not using the query below.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Item_Fat_Content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46911" cy="954676"/>
            <wp:effectExtent b="0" l="0" r="0" t="0"/>
            <wp:docPr id="21348597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SALES: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1000000.0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Total_Sales_Million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30843" cy="922986"/>
            <wp:effectExtent b="0" l="0" r="0" t="0"/>
            <wp:docPr id="21348597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SALES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),2)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Avg_Sales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71025" cy="818568"/>
            <wp:effectExtent b="0" l="0" r="0" t="0"/>
            <wp:docPr id="21348597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NO. OF ITEMS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(*)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No_of_Orders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13746" cy="792250"/>
            <wp:effectExtent b="0" l="0" r="0" t="0"/>
            <wp:docPr id="21348597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AVG RATING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Rating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Avg_Rating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blinkit_data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38643" cy="856859"/>
            <wp:effectExtent b="0" l="0" r="0" t="0"/>
            <wp:docPr id="21348597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643" cy="856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Total Sales by Fat Content: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`Item Fat Content`,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cast(sum(`Total Sales`) as decimal(10,2)) as `Total Sales`,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round(avg(`Total Sales`),2) AS AVG_TotalSales,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as TotalItems,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round(avg(Rating),2) as Rating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blinkit group by `Item Fat Content`;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412935" cy="996893"/>
            <wp:effectExtent b="0" l="0" r="0" t="0"/>
            <wp:docPr id="21348597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935" cy="99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Total Sales by Item Type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`Item Type`, Cast(sum(`Total Sales`) as decimal(10,2)) as `Total Sales`,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round(avg(`Total Sales`),2) AS AVG_TotalSales,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as TotalItems,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round(avg(Rating),2) as Rating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blinkit group by `Item Type`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`Total Sales`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LIMIT 5;</w:t>
      </w:r>
    </w:p>
    <w:p w:rsidR="00000000" w:rsidDel="00000000" w:rsidP="00000000" w:rsidRDefault="00000000" w:rsidRPr="00000000" w14:paraId="00000035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2090738" cy="3022361"/>
            <wp:effectExtent b="0" l="0" r="0" t="0"/>
            <wp:docPr id="21348597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022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Fat Content by Outlet for Total Sales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`outlet location type`,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ROUND(SUM(CASE WHEN `Item Fat Content` = 'Low Fat' THEN `Total Sales`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END), 2) AS `Low Fat`,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ROUND(SUM (CASE WHEN `Item Fat Content` = 'Regular' THEN `Total Sales`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END), 2) AS `Regular`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blinkit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`outlet location type`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`outlet location type`;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516801" cy="1220608"/>
            <wp:effectExtent b="0" l="0" r="0" t="0"/>
            <wp:docPr id="21348597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801" cy="122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Total Sales by Outlet Establishment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establishment year`,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round(sum(`Total Sales`),2) as `Total Sales` from 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blinkit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establishment year`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establishment year`;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b w:val="1"/>
          <w:color w:val="1f3864"/>
          <w:sz w:val="36"/>
          <w:szCs w:val="36"/>
          <w:highlight w:val="yellow"/>
        </w:rPr>
      </w:pPr>
      <w:r w:rsidDel="00000000" w:rsidR="00000000" w:rsidRPr="00000000">
        <w:rPr>
          <w:b w:val="1"/>
          <w:color w:val="1f3864"/>
          <w:sz w:val="36"/>
          <w:szCs w:val="36"/>
        </w:rPr>
        <w:drawing>
          <wp:inline distB="0" distT="0" distL="0" distR="0">
            <wp:extent cx="3077809" cy="2464562"/>
            <wp:effectExtent b="0" l="0" r="0" t="0"/>
            <wp:docPr id="213485978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b w:val="1"/>
          <w:color w:val="1f3864"/>
          <w:sz w:val="36"/>
          <w:szCs w:val="3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Percentage of Sales by Outlet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`outlet size`, round(sum(`Total Sales`),2) as `Outlet Total Sales`,</w:t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(sum(`Total Sales`)/(select sum(`total sales`) from blinkit)*100,2) as `Percentage Total`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blinkit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size`;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513037" cy="1244971"/>
            <wp:effectExtent b="0" l="0" r="0" t="0"/>
            <wp:docPr id="213485979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037" cy="124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Sales by Outlet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Location Type`,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round(sum(`Total Sales`),2) as `Total Sales` from 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blinkit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Location Type`;</w:t>
      </w:r>
    </w:p>
    <w:p w:rsidR="00000000" w:rsidDel="00000000" w:rsidP="00000000" w:rsidRDefault="00000000" w:rsidRPr="00000000" w14:paraId="0000005D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856145" cy="1292652"/>
            <wp:effectExtent b="0" l="0" r="0" t="0"/>
            <wp:docPr id="21348597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All Metrics by Outlet Type: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type`,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round(sum(`Total Sales`),2) as `Total Sales`,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round(sum(`Total Sales`)/(select sum(`total sales`) from blinkit)*100,2) as `Percentage Total`,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count(*) as TotalItems,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round(avg(`Total Sales`),2) AS AVG_TotalSales,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round(avg(Rating),2) as Rating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blinkit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`outlet type`;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5916630" cy="1330095"/>
            <wp:effectExtent b="0" l="0" r="0" t="0"/>
            <wp:docPr id="21348597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133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416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416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416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4169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4169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4169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4169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4169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4169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4169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4169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4169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416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416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416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4169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4169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4169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4169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169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4169C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 w:val="1"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 w:val="1"/>
    <w:unhideWhenUsed w:val="1"/>
    <w:rsid w:val="00CD18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0538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PIoSQkWPvziaYYCi9iTxVTRTw==">CgMxLjA4AHIhMTh5TzRLTjBGWjJLVGxScnRmS3Z0cXV3eV9scWlpZ0dJ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2025-02-03T07:55:00Z</dcterms:created>
  <dc:creator>Swapnajeet A</dc:creator>
</cp:coreProperties>
</file>