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pPr/>
            <w:r>
              <w:rPr>
                <w:rFonts w:ascii="Arial" w:hAnsi="Arial" w:cs="Arial" w:eastAsia="Arial"/>
                <w:sz w:val="18"/>
                <w:b w:val="1"/>
              </w:rPr>
              <w:t>Date</w:t>
            </w:r>
          </w:p>
        </w:tc>
        <w:tc>
          <w:tcPr/>
          <w:p>
            <w:pPr/>
            <w:r>
              <w:rPr>
                <w:rFonts w:ascii="Arial" w:hAnsi="Arial" w:cs="Arial" w:eastAsia="Arial"/>
                <w:sz w:val="18"/>
                <w:b w:val="1"/>
              </w:rPr>
              <w:t>03 October 2026</w:t>
            </w:r>
          </w:p>
        </w:tc>
      </w:tr>
      <w:tr>
        <w:trPr>
          <w:cantSplit w:val="0"/>
          <w:tblHeader w:val="0"/>
        </w:trPr>
        <w:tc>
          <w:tcPr/>
          <w:p>
            <w:pPr/>
            <w:r>
              <w:rPr>
                <w:rFonts w:ascii="Arial" w:hAnsi="Arial" w:cs="Arial" w:eastAsia="Arial"/>
                <w:sz w:val="18"/>
              </w:rPr>
              <w:t>Team ID</w:t>
            </w:r>
          </w:p>
        </w:tc>
        <w:tc>
          <w:tcPr/>
          <w:p>
            <w:pPr/>
            <w:r>
              <w:rPr>
                <w:rFonts w:ascii="Arial" w:hAnsi="Arial" w:cs="Arial" w:eastAsia="Arial"/>
                <w:sz w:val="18"/>
              </w:rPr>
              <w:t>SWTID-2026-7208</w:t>
            </w:r>
          </w:p>
        </w:tc>
      </w:tr>
      <w:tr>
        <w:trPr>
          <w:cantSplit w:val="0"/>
          <w:tblHeader w:val="0"/>
        </w:trPr>
        <w:tc>
          <w:tcPr/>
          <w:p>
            <w:pPr/>
            <w:r>
              <w:rPr>
                <w:rFonts w:ascii="Arial" w:hAnsi="Arial" w:cs="Arial" w:eastAsia="Arial"/>
                <w:sz w:val="18"/>
              </w:rPr>
              <w:t>Project Name</w:t>
            </w:r>
          </w:p>
        </w:tc>
        <w:tc>
          <w:tcPr/>
          <w:p>
            <w:pPr/>
            <w:r>
              <w:rPr>
                <w:rFonts w:ascii="Arial" w:hAnsi="Arial" w:cs="Arial" w:eastAsia="Arial"/>
                <w:sz w:val="18"/>
              </w:rPr>
              <w:t>Implement Client Script &amp; UI Policy (Incident)</w:t>
            </w:r>
          </w:p>
        </w:tc>
      </w:tr>
      <w:tr>
        <w:trPr>
          <w:cantSplit w:val="0"/>
          <w:tblHeader w:val="0"/>
        </w:trPr>
        <w:tc>
          <w:tcPr/>
          <w:p>
            <w:pPr/>
            <w:r>
              <w:rPr>
                <w:rFonts w:ascii="Arial" w:hAnsi="Arial" w:cs="Arial" w:eastAsia="Arial"/>
                <w:sz w:val="18"/>
              </w:rPr>
              <w:t>Maximum Marks</w:t>
            </w:r>
          </w:p>
        </w:tc>
        <w:tc>
          <w:tcPr/>
          <w:p>
            <w:pPr/>
            <w:r>
              <w:rPr>
                <w:rFonts w:ascii="Arial" w:hAnsi="Arial" w:cs="Arial" w:eastAsia="Arial"/>
                <w:sz w:val="18"/>
              </w:rPr>
              <w:t>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ServiceNow Incident DFD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 xml:space="preserve">Project-specific </w:t>
      </w:r>
      <w:hyperlink r:id="rId9">
        <w:r w:rsidDel="00000000" w:rsidR="00000000" w:rsidRPr="00000000">
          <w:rPr>
            <w:rFonts w:ascii="Arial" w:cs="Arial" w:eastAsia="Arial" w:hAnsi="Arial"/>
            <w:b w:val="1"/>
            <w:color w:val="0563c1"/>
            <w:u w:val="single"/>
            <w:rtl w:val="0"/>
          </w:rPr>
          <w:t xml:space="preserve">(workflow)</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pPr/>
            <w:r>
              <w:rPr>
                <w:rFonts w:ascii="Arial" w:hAnsi="Arial" w:cs="Arial" w:eastAsia="Arial"/>
                <w:sz w:val="18"/>
                <w:b w:val="1"/>
              </w:rPr>
              <w:t>User Type</w:t>
            </w:r>
          </w:p>
        </w:tc>
        <w:tc>
          <w:tcPr/>
          <w:p>
            <w:pPr/>
            <w:r>
              <w:rPr>
                <w:rFonts w:ascii="Arial" w:hAnsi="Arial" w:cs="Arial" w:eastAsia="Arial"/>
                <w:sz w:val="18"/>
                <w:b w:val="1"/>
              </w:rPr>
              <w:t>Functional Requirement (Epic)</w:t>
            </w:r>
          </w:p>
        </w:tc>
        <w:tc>
          <w:tcPr/>
          <w:p>
            <w:pPr/>
            <w:r>
              <w:rPr>
                <w:rFonts w:ascii="Arial" w:hAnsi="Arial" w:cs="Arial" w:eastAsia="Arial"/>
                <w:sz w:val="18"/>
                <w:b w:val="1"/>
              </w:rPr>
              <w:t>User Story Number</w:t>
            </w:r>
          </w:p>
        </w:tc>
        <w:tc>
          <w:tcPr/>
          <w:p>
            <w:pPr/>
            <w:r>
              <w:rPr>
                <w:rFonts w:ascii="Arial" w:hAnsi="Arial" w:cs="Arial" w:eastAsia="Arial"/>
                <w:sz w:val="18"/>
                <w:b w:val="1"/>
              </w:rPr>
              <w:t>User Story / Task</w:t>
            </w:r>
          </w:p>
        </w:tc>
        <w:tc>
          <w:tcPr/>
          <w:p>
            <w:pPr/>
            <w:r>
              <w:rPr>
                <w:rFonts w:ascii="Arial" w:hAnsi="Arial" w:cs="Arial" w:eastAsia="Arial"/>
                <w:sz w:val="18"/>
                <w:b w:val="1"/>
              </w:rPr>
              <w:t>Acceptance criteria</w:t>
            </w:r>
          </w:p>
        </w:tc>
        <w:tc>
          <w:tcPr/>
          <w:p>
            <w:pPr/>
            <w:r>
              <w:rPr>
                <w:rFonts w:ascii="Arial" w:hAnsi="Arial" w:cs="Arial" w:eastAsia="Arial"/>
                <w:sz w:val="18"/>
                <w:b w:val="1"/>
              </w:rPr>
              <w:t>Priority</w:t>
            </w:r>
          </w:p>
        </w:tc>
        <w:tc>
          <w:tcPr/>
          <w:p>
            <w:pPr/>
            <w:r>
              <w:rPr>
                <w:rFonts w:ascii="Arial" w:hAnsi="Arial" w:cs="Arial" w:eastAsia="Arial"/>
                <w:sz w:val="18"/>
                <w:b w:val="1"/>
              </w:rPr>
              <w:t>Release</w:t>
            </w:r>
          </w:p>
        </w:tc>
      </w:tr>
      <w:tr>
        <w:trPr>
          <w:cantSplit w:val="0"/>
          <w:trHeight w:val="404" w:hRule="atLeast"/>
          <w:tblHeader w:val="0"/>
        </w:trPr>
        <w:tc>
          <w:tcPr/>
          <w:p>
            <w:pPr/>
            <w:r>
              <w:rPr>
                <w:rFonts w:ascii="Arial" w:hAnsi="Arial" w:cs="Arial" w:eastAsia="Arial"/>
                <w:sz w:val="18"/>
              </w:rPr>
              <w:t>ServiceNow Agent</w:t>
            </w:r>
          </w:p>
        </w:tc>
        <w:tc>
          <w:tcPr/>
          <w:p>
            <w:pPr/>
            <w:r>
              <w:rPr>
                <w:rFonts w:ascii="Arial" w:hAnsi="Arial" w:cs="Arial" w:eastAsia="Arial"/>
                <w:sz w:val="18"/>
              </w:rPr>
              <w:t>Incident Form Validation</w:t>
            </w:r>
          </w:p>
        </w:tc>
        <w:tc>
          <w:tcPr/>
          <w:p>
            <w:pPr/>
            <w:r>
              <w:rPr>
                <w:rFonts w:ascii="Arial" w:hAnsi="Arial" w:cs="Arial" w:eastAsia="Arial"/>
                <w:sz w:val="18"/>
              </w:rPr>
              <w:t>USN-1</w:t>
            </w:r>
          </w:p>
        </w:tc>
        <w:tc>
          <w:tcPr/>
          <w:p>
            <w:pPr/>
            <w:r>
              <w:rPr>
                <w:rFonts w:ascii="Arial" w:hAnsi="Arial" w:cs="Arial" w:eastAsia="Arial"/>
                <w:sz w:val="18"/>
              </w:rPr>
              <w:t>As an incident agent, I can enter and update Incident fields with the configured client-side validation.</w:t>
            </w:r>
          </w:p>
        </w:tc>
        <w:tc>
          <w:tcPr/>
          <w:p>
            <w:pPr/>
            <w:r>
              <w:rPr>
                <w:rFonts w:ascii="Arial" w:hAnsi="Arial" w:cs="Arial" w:eastAsia="Arial"/>
                <w:sz w:val="18"/>
              </w:rPr>
              <w:t>Configured validation executes on the Incident form and prevents invalid input.</w:t>
            </w:r>
          </w:p>
        </w:tc>
        <w:tc>
          <w:tcPr/>
          <w:p>
            <w:pPr/>
            <w:r>
              <w:rPr>
                <w:rFonts w:ascii="Arial" w:hAnsi="Arial" w:cs="Arial" w:eastAsia="Arial"/>
                <w:sz w:val="18"/>
              </w:rPr>
              <w:t>High</w:t>
            </w:r>
          </w:p>
        </w:tc>
        <w:tc>
          <w:tcPr/>
          <w:p>
            <w:pPr/>
            <w:r>
              <w:rPr>
                <w:rFonts w:ascii="Arial" w:hAnsi="Arial" w:cs="Arial" w:eastAsia="Arial"/>
                <w:sz w:val="18"/>
              </w:rPr>
              <w:t>Milestone-1</w:t>
            </w:r>
          </w:p>
        </w:tc>
      </w:tr>
      <w:tr>
        <w:trPr>
          <w:cantSplit w:val="0"/>
          <w:trHeight w:val="404" w:hRule="atLeast"/>
          <w:tblHeader w:val="0"/>
        </w:trPr>
        <w:tc>
          <w:tcPr/>
          <w:p>
            <w:pPr/>
            <w:r>
              <w:rPr>
                <w:rFonts w:ascii="Arial" w:hAnsi="Arial" w:cs="Arial" w:eastAsia="Arial"/>
                <w:sz w:val="18"/>
              </w:rPr>
              <w:t/>
            </w:r>
          </w:p>
        </w:tc>
        <w:tc>
          <w:tcPr/>
          <w:p>
            <w:pPr/>
            <w:r>
              <w:rPr>
                <w:rFonts w:ascii="Arial" w:hAnsi="Arial" w:cs="Arial" w:eastAsia="Arial"/>
                <w:sz w:val="18"/>
              </w:rPr>
              <w:t>Client Script</w:t>
            </w:r>
          </w:p>
        </w:tc>
        <w:tc>
          <w:tcPr/>
          <w:p>
            <w:pPr/>
            <w:r>
              <w:rPr>
                <w:rFonts w:ascii="Arial" w:hAnsi="Arial" w:cs="Arial" w:eastAsia="Arial"/>
                <w:sz w:val="18"/>
              </w:rPr>
              <w:t>USN-2</w:t>
            </w:r>
          </w:p>
        </w:tc>
        <w:tc>
          <w:tcPr/>
          <w:p>
            <w:pPr/>
            <w:r>
              <w:rPr>
                <w:rFonts w:ascii="Arial" w:hAnsi="Arial" w:cs="Arial" w:eastAsia="Arial"/>
                <w:sz w:val="18"/>
              </w:rPr>
              <w:t>As an incident agent, I can receive immediate feedback when an Incident field value does not meet the configured rule.</w:t>
            </w:r>
          </w:p>
        </w:tc>
        <w:tc>
          <w:tcPr/>
          <w:p>
            <w:pPr/>
            <w:r>
              <w:rPr>
                <w:rFonts w:ascii="Arial" w:hAnsi="Arial" w:cs="Arial" w:eastAsia="Arial"/>
                <w:sz w:val="18"/>
              </w:rPr>
              <w:t>The client-side rule displays the expected validation behavior without requiring a server round trip.</w:t>
            </w:r>
          </w:p>
        </w:tc>
        <w:tc>
          <w:tcPr/>
          <w:p>
            <w:pPr/>
            <w:r>
              <w:rPr>
                <w:rFonts w:ascii="Arial" w:hAnsi="Arial" w:cs="Arial" w:eastAsia="Arial"/>
                <w:sz w:val="18"/>
              </w:rPr>
              <w:t>High</w:t>
            </w:r>
          </w:p>
        </w:tc>
        <w:tc>
          <w:tcPr/>
          <w:p>
            <w:pPr/>
            <w:r>
              <w:rPr>
                <w:rFonts w:ascii="Arial" w:hAnsi="Arial" w:cs="Arial" w:eastAsia="Arial"/>
                <w:sz w:val="18"/>
              </w:rPr>
              <w:t>Milestone-1</w:t>
            </w:r>
          </w:p>
        </w:tc>
      </w:tr>
      <w:tr>
        <w:trPr>
          <w:cantSplit w:val="0"/>
          <w:trHeight w:val="404" w:hRule="atLeast"/>
          <w:tblHeader w:val="0"/>
        </w:trPr>
        <w:tc>
          <w:tcPr/>
          <w:p>
            <w:pPr/>
            <w:r>
              <w:rPr>
                <w:rFonts w:ascii="Arial" w:hAnsi="Arial" w:cs="Arial" w:eastAsia="Arial"/>
                <w:sz w:val="18"/>
              </w:rPr>
              <w:t/>
            </w:r>
          </w:p>
        </w:tc>
        <w:tc>
          <w:tcPr/>
          <w:p>
            <w:pPr/>
            <w:r>
              <w:rPr>
                <w:rFonts w:ascii="Arial" w:hAnsi="Arial" w:cs="Arial" w:eastAsia="Arial"/>
                <w:sz w:val="18"/>
              </w:rPr>
              <w:t>UI Policy</w:t>
            </w:r>
          </w:p>
        </w:tc>
        <w:tc>
          <w:tcPr/>
          <w:p>
            <w:pPr/>
            <w:r>
              <w:rPr>
                <w:rFonts w:ascii="Arial" w:hAnsi="Arial" w:cs="Arial" w:eastAsia="Arial"/>
                <w:sz w:val="18"/>
              </w:rPr>
              <w:t>USN-3</w:t>
            </w:r>
          </w:p>
        </w:tc>
        <w:tc>
          <w:tcPr/>
          <w:p>
            <w:pPr/>
            <w:r>
              <w:rPr>
                <w:rFonts w:ascii="Arial" w:hAnsi="Arial" w:cs="Arial" w:eastAsia="Arial"/>
                <w:sz w:val="18"/>
              </w:rPr>
              <w:t>As an incident agent, I can see Incident fields become visible, mandatory, or read-only according to the configured UI Policy condition.</w:t>
            </w:r>
          </w:p>
        </w:tc>
        <w:tc>
          <w:tcPr/>
          <w:p>
            <w:pPr/>
            <w:r>
              <w:rPr>
                <w:rFonts w:ascii="Arial" w:hAnsi="Arial" w:cs="Arial" w:eastAsia="Arial"/>
                <w:sz w:val="18"/>
              </w:rPr>
              <w:t>The relevant field state changes automatically when the condition is met.</w:t>
            </w:r>
          </w:p>
        </w:tc>
        <w:tc>
          <w:tcPr/>
          <w:p>
            <w:pPr/>
            <w:r>
              <w:rPr>
                <w:rFonts w:ascii="Arial" w:hAnsi="Arial" w:cs="Arial" w:eastAsia="Arial"/>
                <w:sz w:val="18"/>
              </w:rPr>
              <w:t>High</w:t>
            </w:r>
          </w:p>
        </w:tc>
        <w:tc>
          <w:tcPr/>
          <w:p>
            <w:pPr/>
            <w:r>
              <w:rPr>
                <w:rFonts w:ascii="Arial" w:hAnsi="Arial" w:cs="Arial" w:eastAsia="Arial"/>
                <w:sz w:val="18"/>
              </w:rPr>
              <w:t>Milestone-2</w:t>
            </w:r>
          </w:p>
        </w:tc>
      </w:tr>
      <w:tr>
        <w:trPr>
          <w:cantSplit w:val="0"/>
          <w:trHeight w:val="404" w:hRule="atLeast"/>
          <w:tblHeader w:val="0"/>
        </w:trPr>
        <w:tc>
          <w:tcPr/>
          <w:p>
            <w:pPr/>
            <w:r>
              <w:rPr>
                <w:rFonts w:ascii="Arial" w:hAnsi="Arial" w:cs="Arial" w:eastAsia="Arial"/>
                <w:sz w:val="18"/>
              </w:rPr>
              <w:t/>
            </w:r>
          </w:p>
        </w:tc>
        <w:tc>
          <w:tcPr/>
          <w:p>
            <w:pPr/>
            <w:r>
              <w:rPr>
                <w:rFonts w:ascii="Arial" w:hAnsi="Arial" w:cs="Arial" w:eastAsia="Arial"/>
                <w:sz w:val="18"/>
              </w:rPr>
              <w:t>Form Behavior</w:t>
            </w:r>
          </w:p>
        </w:tc>
        <w:tc>
          <w:tcPr/>
          <w:p>
            <w:pPr/>
            <w:r>
              <w:rPr>
                <w:rFonts w:ascii="Arial" w:hAnsi="Arial" w:cs="Arial" w:eastAsia="Arial"/>
                <w:sz w:val="18"/>
              </w:rPr>
              <w:t>USN-4</w:t>
            </w:r>
          </w:p>
        </w:tc>
        <w:tc>
          <w:tcPr/>
          <w:p>
            <w:pPr/>
            <w:r>
              <w:rPr>
                <w:rFonts w:ascii="Arial" w:hAnsi="Arial" w:cs="Arial" w:eastAsia="Arial"/>
                <w:sz w:val="18"/>
              </w:rPr>
              <w:t>As an incident agent, I can save an Incident after the configured Client Script and UI Policy rules are satisfied.</w:t>
            </w:r>
          </w:p>
        </w:tc>
        <w:tc>
          <w:tcPr/>
          <w:p>
            <w:pPr/>
            <w:r>
              <w:rPr>
                <w:rFonts w:ascii="Arial" w:hAnsi="Arial" w:cs="Arial" w:eastAsia="Arial"/>
                <w:sz w:val="18"/>
              </w:rPr>
              <w:t>The Incident saves successfully when all configured conditions are satisfied.</w:t>
            </w:r>
          </w:p>
        </w:tc>
        <w:tc>
          <w:tcPr/>
          <w:p>
            <w:pPr/>
            <w:r>
              <w:rPr>
                <w:rFonts w:ascii="Arial" w:hAnsi="Arial" w:cs="Arial" w:eastAsia="Arial"/>
                <w:sz w:val="18"/>
              </w:rPr>
              <w:t>High</w:t>
            </w:r>
          </w:p>
        </w:tc>
        <w:tc>
          <w:tcPr/>
          <w:p>
            <w:pPr/>
            <w:r>
              <w:rPr>
                <w:rFonts w:ascii="Arial" w:hAnsi="Arial" w:cs="Arial" w:eastAsia="Arial"/>
                <w:sz w:val="18"/>
              </w:rPr>
              <w:t>Milestone-2</w:t>
            </w:r>
          </w:p>
        </w:tc>
      </w:tr>
      <w:tr>
        <w:trPr>
          <w:cantSplit w:val="0"/>
          <w:trHeight w:val="404" w:hRule="atLeast"/>
          <w:tblHeader w:val="0"/>
        </w:trPr>
        <w:tc>
          <w:tcPr/>
          <w:p>
            <w:pPr/>
            <w:r>
              <w:rPr>
                <w:rFonts w:ascii="Arial" w:hAnsi="Arial" w:cs="Arial" w:eastAsia="Arial"/>
                <w:sz w:val="18"/>
              </w:rPr>
              <w:t>ServiceNow Administrator</w:t>
            </w:r>
          </w:p>
        </w:tc>
        <w:tc>
          <w:tcPr/>
          <w:p>
            <w:pPr/>
            <w:r>
              <w:rPr>
                <w:rFonts w:ascii="Arial" w:hAnsi="Arial" w:cs="Arial" w:eastAsia="Arial"/>
                <w:sz w:val="18"/>
              </w:rPr>
              <w:t>Configuration</w:t>
            </w:r>
          </w:p>
        </w:tc>
        <w:tc>
          <w:tcPr/>
          <w:p>
            <w:pPr/>
            <w:r>
              <w:rPr>
                <w:rFonts w:ascii="Arial" w:hAnsi="Arial" w:cs="Arial" w:eastAsia="Arial"/>
                <w:sz w:val="18"/>
              </w:rPr>
              <w:t>USN-5</w:t>
            </w:r>
          </w:p>
        </w:tc>
        <w:tc>
          <w:tcPr/>
          <w:p>
            <w:pPr/>
            <w:r>
              <w:rPr>
                <w:rFonts w:ascii="Arial" w:hAnsi="Arial" w:cs="Arial" w:eastAsia="Arial"/>
                <w:sz w:val="18"/>
              </w:rPr>
              <w:t>As an administrator, I can configure the Client Script for the Incident form.</w:t>
            </w:r>
          </w:p>
        </w:tc>
        <w:tc>
          <w:tcPr/>
          <w:p>
            <w:pPr/>
            <w:r>
              <w:rPr>
                <w:rFonts w:ascii="Arial" w:hAnsi="Arial" w:cs="Arial" w:eastAsia="Arial"/>
                <w:sz w:val="18"/>
              </w:rPr>
              <w:t>The Client Script is active and executes on the intended Incident form event.</w:t>
            </w:r>
          </w:p>
        </w:tc>
        <w:tc>
          <w:tcPr/>
          <w:p>
            <w:pPr/>
            <w:r>
              <w:rPr>
                <w:rFonts w:ascii="Arial" w:hAnsi="Arial" w:cs="Arial" w:eastAsia="Arial"/>
                <w:sz w:val="18"/>
              </w:rPr>
              <w:t>High</w:t>
            </w:r>
          </w:p>
        </w:tc>
        <w:tc>
          <w:tcPr/>
          <w:p>
            <w:pPr/>
            <w:r>
              <w:rPr>
                <w:rFonts w:ascii="Arial" w:hAnsi="Arial" w:cs="Arial" w:eastAsia="Arial"/>
                <w:sz w:val="18"/>
              </w:rPr>
              <w:t>Milestone-1</w:t>
            </w:r>
          </w:p>
        </w:tc>
      </w:tr>
      <w:tr>
        <w:trPr>
          <w:cantSplit w:val="0"/>
          <w:trHeight w:val="404" w:hRule="atLeast"/>
          <w:tblHeader w:val="0"/>
        </w:trPr>
        <w:tc>
          <w:tcPr/>
          <w:p>
            <w:pPr/>
            <w:r>
              <w:rPr>
                <w:rFonts w:ascii="Arial" w:hAnsi="Arial" w:cs="Arial" w:eastAsia="Arial"/>
                <w:sz w:val="18"/>
              </w:rPr>
              <w:t/>
            </w:r>
          </w:p>
        </w:tc>
        <w:tc>
          <w:tcPr/>
          <w:p>
            <w:pPr/>
            <w:r>
              <w:rPr>
                <w:rFonts w:ascii="Arial" w:hAnsi="Arial" w:cs="Arial" w:eastAsia="Arial"/>
                <w:sz w:val="18"/>
              </w:rPr>
              <w:t>Configuration</w:t>
            </w:r>
          </w:p>
        </w:tc>
        <w:tc>
          <w:tcPr/>
          <w:p>
            <w:pPr/>
            <w:r>
              <w:rPr>
                <w:rFonts w:ascii="Arial" w:hAnsi="Arial" w:cs="Arial" w:eastAsia="Arial"/>
                <w:sz w:val="18"/>
              </w:rPr>
              <w:t>USN-6</w:t>
            </w:r>
          </w:p>
        </w:tc>
        <w:tc>
          <w:tcPr/>
          <w:p>
            <w:pPr/>
            <w:r>
              <w:rPr>
                <w:rFonts w:ascii="Arial" w:hAnsi="Arial" w:cs="Arial" w:eastAsia="Arial"/>
                <w:sz w:val="18"/>
              </w:rPr>
              <w:t>As an administrator, I can configure the UI Policy and its UI Policy Actions for Incident fields.</w:t>
            </w:r>
          </w:p>
        </w:tc>
        <w:tc>
          <w:tcPr/>
          <w:p>
            <w:pPr/>
            <w:r>
              <w:rPr>
                <w:rFonts w:ascii="Arial" w:hAnsi="Arial" w:cs="Arial" w:eastAsia="Arial"/>
                <w:sz w:val="18"/>
              </w:rPr>
              <w:t>The UI Policy applies the intended field behavior when its condition is true.</w:t>
            </w:r>
          </w:p>
        </w:tc>
        <w:tc>
          <w:tcPr/>
          <w:p>
            <w:pPr/>
            <w:r>
              <w:rPr>
                <w:rFonts w:ascii="Arial" w:hAnsi="Arial" w:cs="Arial" w:eastAsia="Arial"/>
                <w:sz w:val="18"/>
              </w:rPr>
              <w:t>High</w:t>
            </w:r>
          </w:p>
        </w:tc>
        <w:tc>
          <w:tcPr/>
          <w:p>
            <w:pPr/>
            <w:r>
              <w:rPr>
                <w:rFonts w:ascii="Arial" w:hAnsi="Arial" w:cs="Arial" w:eastAsia="Arial"/>
                <w:sz w:val="18"/>
              </w:rPr>
              <w:t>Milestone-2</w:t>
            </w:r>
          </w:p>
        </w:tc>
      </w:tr>
      <w:tr>
        <w:trPr>
          <w:cantSplit w:val="0"/>
          <w:trHeight w:val="404" w:hRule="atLeast"/>
          <w:tblHeader w:val="0"/>
        </w:trPr>
        <w:tc>
          <w:tcPr/>
          <w:p>
            <w:pPr/>
            <w:r>
              <w:rPr>
                <w:rFonts w:ascii="Arial" w:hAnsi="Arial" w:cs="Arial" w:eastAsia="Arial"/>
                <w:sz w:val="18"/>
              </w:rPr>
              <w:t/>
            </w:r>
          </w:p>
        </w:tc>
        <w:tc>
          <w:tcPr/>
          <w:p>
            <w:pPr/>
            <w:r>
              <w:rPr>
                <w:rFonts w:ascii="Arial" w:hAnsi="Arial" w:cs="Arial" w:eastAsia="Arial"/>
                <w:sz w:val="18"/>
              </w:rPr>
              <w:t>Testing</w:t>
            </w:r>
          </w:p>
        </w:tc>
        <w:tc>
          <w:tcPr/>
          <w:p>
            <w:pPr/>
            <w:r>
              <w:rPr>
                <w:rFonts w:ascii="Arial" w:hAnsi="Arial" w:cs="Arial" w:eastAsia="Arial"/>
                <w:sz w:val="18"/>
              </w:rPr>
              <w:t>USN-7</w:t>
            </w:r>
          </w:p>
        </w:tc>
        <w:tc>
          <w:tcPr/>
          <w:p>
            <w:pPr/>
            <w:r>
              <w:rPr>
                <w:rFonts w:ascii="Arial" w:hAnsi="Arial" w:cs="Arial" w:eastAsia="Arial"/>
                <w:sz w:val="18"/>
              </w:rPr>
              <w:t>As an administrator, I can test the configured Client Script and UI Policy using Incident records.</w:t>
            </w:r>
          </w:p>
        </w:tc>
        <w:tc>
          <w:tcPr/>
          <w:p>
            <w:pPr/>
            <w:r>
              <w:rPr>
                <w:rFonts w:ascii="Arial" w:hAnsi="Arial" w:cs="Arial" w:eastAsia="Arial"/>
                <w:sz w:val="18"/>
              </w:rPr>
              <w:t>The expected validation and field-state behavior can be demonstrated and captured as evidence.</w:t>
            </w:r>
          </w:p>
        </w:tc>
        <w:tc>
          <w:tcPr/>
          <w:p>
            <w:pPr/>
            <w:r>
              <w:rPr>
                <w:rFonts w:ascii="Arial" w:hAnsi="Arial" w:cs="Arial" w:eastAsia="Arial"/>
                <w:sz w:val="18"/>
              </w:rPr>
              <w:t>Medium</w:t>
            </w:r>
          </w:p>
        </w:tc>
        <w:tc>
          <w:tcPr/>
          <w:p>
            <w:pPr/>
            <w:r>
              <w:rPr>
                <w:rFonts w:ascii="Arial" w:hAnsi="Arial" w:cs="Arial" w:eastAsia="Arial"/>
                <w:sz w:val="18"/>
              </w:rPr>
              <w:t>Milestone-2</w:t>
            </w:r>
          </w:p>
        </w:tc>
      </w:tr>
      <w:tr>
        <w:trPr>
          <w:cantSplit w:val="0"/>
          <w:trHeight w:val="404" w:hRule="atLeast"/>
          <w:tblHeader w:val="0"/>
        </w:trPr>
        <w:tc>
          <w:tcPr/>
          <w:p>
            <w:pPr/>
            <w:r>
              <w:rPr>
                <w:rFonts w:ascii="Arial" w:hAnsi="Arial" w:cs="Arial" w:eastAsia="Arial"/>
                <w:sz w:val="18"/>
              </w:rPr>
              <w:t>ServiceNow User</w:t>
            </w:r>
          </w:p>
        </w:tc>
        <w:tc>
          <w:tcPr/>
          <w:p>
            <w:pPr/>
            <w:r>
              <w:rPr>
                <w:rFonts w:ascii="Arial" w:hAnsi="Arial" w:cs="Arial" w:eastAsia="Arial"/>
                <w:sz w:val="18"/>
              </w:rPr>
              <w:t>Incident Update</w:t>
            </w:r>
          </w:p>
        </w:tc>
        <w:tc>
          <w:tcPr/>
          <w:p>
            <w:pPr/>
            <w:r>
              <w:rPr>
                <w:rFonts w:ascii="Arial" w:hAnsi="Arial" w:cs="Arial" w:eastAsia="Arial"/>
                <w:sz w:val="18"/>
              </w:rPr>
              <w:t>USN-8</w:t>
            </w:r>
          </w:p>
        </w:tc>
        <w:tc>
          <w:tcPr/>
          <w:p>
            <w:pPr/>
            <w:r>
              <w:rPr>
                <w:rFonts w:ascii="Arial" w:hAnsi="Arial" w:cs="Arial" w:eastAsia="Arial"/>
                <w:sz w:val="18"/>
              </w:rPr>
              <w:t>As a ServiceNow user, I can update an Incident while the configured form rules remain consistent.</w:t>
            </w:r>
          </w:p>
        </w:tc>
        <w:tc>
          <w:tcPr/>
          <w:p>
            <w:pPr/>
            <w:r>
              <w:rPr>
                <w:rFonts w:ascii="Arial" w:hAnsi="Arial" w:cs="Arial" w:eastAsia="Arial"/>
                <w:sz w:val="18"/>
              </w:rPr>
              <w:t>The same configured behavior is applied during Incident updates.</w:t>
            </w:r>
          </w:p>
        </w:tc>
        <w:tc>
          <w:tcPr/>
          <w:p>
            <w:pPr/>
            <w:r>
              <w:rPr>
                <w:rFonts w:ascii="Arial" w:hAnsi="Arial" w:cs="Arial" w:eastAsia="Arial"/>
                <w:sz w:val="18"/>
              </w:rPr>
              <w:t>Medium</w:t>
            </w:r>
          </w:p>
        </w:tc>
        <w:tc>
          <w:tcPr/>
          <w:p>
            <w:pPr/>
            <w:r>
              <w:rPr>
                <w:rFonts w:ascii="Arial" w:hAnsi="Arial" w:cs="Arial" w:eastAsia="Arial"/>
                <w:sz w:val="18"/>
              </w:rPr>
              <w:t>Milestone-2</w:t>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A">
            <w:pPr>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