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Date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Team ID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SWTID-2026-7208</w:t>
            </w:r>
          </w:p>
        </w:tc>
      </w:tr>
      <w:tr>
        <w:trPr>
          <w:cantSplit w:val="0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Project Name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Maximum Marks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FR No.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Functional Requirement (Epic)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FR-1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Incident Client Script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Configure Client Script for the Incident form</w:t>
              <w:br/>
              <w:t>Client-side field validation / behavior</w:t>
              <w:br/>
              <w:t>Test the configured script on Incident records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FR-2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Incident UI Policy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Configure UI Policy conditions</w:t>
              <w:br/>
              <w:t>Configure UI Policy Actions for field visibility, mandatory, or read-only behavior</w:t>
              <w:br/>
              <w:t>Test the policy on Incident records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FR-3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Incident Form Validation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Apply the configured rules during Incident creation and update</w:t>
              <w:br/>
              <w:t>Prevent invalid or incomplete data where the rule requires it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FR-4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Verification &amp; Evidence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Execute functional tests for Client Script and UI Policy</w:t>
              <w:br/>
              <w:t>Capture screenshots showing the configured behavior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FR No.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Non-Functional Requirement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NFR-1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Usability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Incident form rules should provide clear, immediate behavior to the ServiceNow user with minimal extra interaction.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NFR-2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Security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Use ServiceNow roles, permissions, and platform security controls so only authorized users can configure or administer the solution.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NFR-3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Reliability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Client Script and UI Policy behavior should execute consistently on the intended Incident form events and conditions.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NFR-4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Performance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Client-side rules should execute quickly and avoid unnecessary server calls for simple form behavior.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NFR-5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Availability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The solution runs within the ServiceNow platform and is available when the ServiceNow instance is available.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NFR-6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Scalability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The configuration should support additional Incident form rules and fields without requiring a separate application server.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