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Colleague Listening — HR Journey Experience Survey</w:t>
      </w:r>
    </w:p>
    <w:p>
      <w:pPr>
        <w:spacing w:after="60"/>
      </w:pPr>
      <w:r>
        <w:rPr>
          <w:i/>
          <w:iCs/>
          <w:color w:val="404040"/>
          <w:sz w:val="27"/>
          <w:szCs w:val="27"/>
        </w:rPr>
        <w:t xml:space="preserve">GenAI Analytics: Objective &amp; Use Cases for Qualtrics Demo Briefing</w:t>
      </w:r>
    </w:p>
    <w:p>
      <w:pPr>
        <w:spacing w:after="40"/>
      </w:pPr>
      <w:r>
        <w:rPr>
          <w:color w:val="595959"/>
          <w:sz w:val="20"/>
          <w:szCs w:val="20"/>
        </w:rPr>
        <w:t xml:space="preserve">Prepared by: Vinoth Mathaiyan, Barclays Global Shared Services — Customer &amp; Colleague Experience</w:t>
      </w:r>
    </w:p>
    <w:p>
      <w:pPr>
        <w:spacing w:after="240"/>
      </w:pPr>
      <w:r>
        <w:rPr>
          <w:color w:val="595959"/>
          <w:sz w:val="20"/>
          <w:szCs w:val="20"/>
        </w:rPr>
        <w:t xml:space="preserve">Date: 17 June 2026</w:t>
      </w:r>
    </w:p>
    <w:p>
      <w:pPr>
        <w:pBdr>
          <w:bottom w:val="single" w:color="BFBFBF" w:sz="6" w:space="1"/>
        </w:pBdr>
        <w:spacing w:after="220" w:before="60"/>
      </w:pPr>
    </w:p>
    <w:p>
      <w:pPr>
        <w:pStyle w:val="Heading2"/>
      </w:pPr>
      <w:r>
        <w:t xml:space="preserve">Background</w:t>
      </w:r>
    </w:p>
    <w:p>
      <w:pPr>
        <w:spacing w:after="200" w:line="276"/>
      </w:pPr>
      <w:r>
        <w:rPr>
          <w:sz w:val="23"/>
          <w:szCs w:val="23"/>
        </w:rPr>
        <w:t xml:space="preserve">Barclays’ Colleague Listening programme runs a survey spanning 51 HR experience touchpoints across the full colleague journey — from recruitment and onboarding through learning, progression, and exit. Touchpoints apply variably to colleagues and managers. Given the breadth of the journey, each respondent is shown 11 of the 51 touchpoints, randomly assigned, to keep individual response burden manageable while ensuring even coverage across the full set within each wave. The survey runs on a six-month to annual cadence and collects approximately 7,500 responses per wave.</w:t>
      </w:r>
    </w:p>
    <w:p>
      <w:pPr>
        <w:spacing w:after="200" w:line="276"/>
      </w:pPr>
      <w:r>
        <w:rPr>
          <w:sz w:val="23"/>
          <w:szCs w:val="23"/>
        </w:rPr>
        <w:t xml:space="preserve">For each touchpoint a respondent is shown, three question types are captured: a satisfaction score, a multi-select question capturing the primary reasons behind that score, and an open-text comment field. At full scale, this produces roughly 82,500 touchpoint-level response bundles per wave (7,500 respondents × 11 touchpoints each), with each bundle pairing a structured score and reason code to an unstructured comment.</w:t>
      </w:r>
    </w:p>
    <w:p>
      <w:pPr>
        <w:spacing w:after="200" w:line="276"/>
      </w:pPr>
      <w:r>
        <w:rPr>
          <w:sz w:val="23"/>
          <w:szCs w:val="23"/>
        </w:rPr>
        <w:t xml:space="preserve">The current Qualtrics dashboard delivers key driver analysis, driver-impact-on-overall-satisfaction modelling, satisfaction scoring, and wave-over-wave trend analysis — built primarily on the structured (numeric and categorical) side of the data.</w:t>
      </w:r>
    </w:p>
    <w:p>
      <w:pPr>
        <w:pStyle w:val="Heading2"/>
      </w:pPr>
      <w:r>
        <w:t xml:space="preserve">Objective</w:t>
      </w:r>
    </w:p>
    <w:p>
      <w:pPr>
        <w:spacing w:after="200" w:line="276"/>
      </w:pPr>
      <w:r>
        <w:rPr>
          <w:sz w:val="23"/>
          <w:szCs w:val="23"/>
        </w:rPr>
        <w:t xml:space="preserve">This briefing sets the objective for the upcoming Qualtrics GenAI demo: to evaluate whether Qualtrics’ GenAI capability can convert the open-text and multi-select “reason” data attached to each of the 51 touchpoints into structured, comparable, and actionable themes — surfacing root causes and friction patterns that satisfaction scores and existing driver models describe statistically but do not explain qualitatively.</w:t>
      </w:r>
    </w:p>
    <w:p>
      <w:pPr>
        <w:spacing w:after="200" w:line="276"/>
      </w:pPr>
      <w:r>
        <w:rPr>
          <w:sz w:val="23"/>
          <w:szCs w:val="23"/>
        </w:rPr>
        <w:t xml:space="preserve">A secondary objective is to assess whether the same capability can produce cross-touchpoint comparisons that remain statistically sound despite the survey’s split-sample design, where no single respondent sees more than 11 of the 51 touchpoints.</w:t>
      </w:r>
    </w:p>
    <w:p>
      <w:pPr>
        <w:pStyle w:val="Heading2"/>
      </w:pPr>
      <w:r>
        <w:t xml:space="preserve">Use Cases for Discussion</w:t>
      </w:r>
    </w:p>
    <w:p>
      <w:pPr>
        <w:spacing w:after="200" w:line="276"/>
      </w:pPr>
      <w:r>
        <w:rPr>
          <w:sz w:val="23"/>
          <w:szCs w:val="23"/>
        </w:rPr>
        <w:t xml:space="preserve">The following use cases are intended to test capability that sits beyond the existing dashboard — primarily by putting the open-text and multi-select “why” data to active analytical use, rather than treating it as a manually-read appendix to the satisfaction score.</w:t>
      </w:r>
    </w:p>
    <w:p>
      <w:pPr>
        <w:pStyle w:val="Heading3"/>
        <w:spacing w:after="80" w:before="280"/>
      </w:pPr>
      <w:r>
        <w:rPr>
          <w:rFonts w:ascii="Arial" w:cs="Arial" w:eastAsia="Arial" w:hAnsi="Arial"/>
          <w:b/>
          <w:bCs/>
          <w:color w:val="1F4E79"/>
          <w:sz w:val="25"/>
          <w:szCs w:val="25"/>
        </w:rPr>
        <w:t xml:space="preserve">1. Verbatim Theme Extraction and Root-Cause Tagging</w:t>
      </w:r>
    </w:p>
    <w:p>
      <w:pPr>
        <w:spacing w:after="200" w:line="276"/>
      </w:pPr>
      <w:r>
        <w:rPr>
          <w:sz w:val="23"/>
          <w:szCs w:val="23"/>
        </w:rPr>
        <w:t xml:space="preserve">At an estimated ~1,600 responses per touchpoint per wave, open-text volume is sufficient to cluster comments into recurring themes and quantify how often each theme appears, broken out by satisfaction band. Where the existing dashboard identifies that a touchpoint’s score has moved, this use case aims to explain why — organised into counted, named categories rather than a manual read of the underlying verbatims.</w:t>
      </w:r>
    </w:p>
    <w:p>
      <w:pPr>
        <w:pStyle w:val="Heading3"/>
        <w:spacing w:after="80" w:before="280"/>
      </w:pPr>
      <w:r>
        <w:rPr>
          <w:rFonts w:ascii="Arial" w:cs="Arial" w:eastAsia="Arial" w:hAnsi="Arial"/>
          <w:b/>
          <w:bCs/>
          <w:color w:val="1F4E79"/>
          <w:sz w:val="25"/>
          <w:szCs w:val="25"/>
        </w:rPr>
        <w:t xml:space="preserve">2. Linking Multi-Select Reason Codes to Verbatim Text</w:t>
      </w:r>
    </w:p>
    <w:p>
      <w:pPr>
        <w:spacing w:after="200" w:line="276"/>
      </w:pPr>
      <w:r>
        <w:rPr>
          <w:sz w:val="23"/>
          <w:szCs w:val="23"/>
        </w:rPr>
        <w:t xml:space="preserve">Today, the multi-select reason question is most likely cross-tabbed against the satisfaction score — structured against structured. This use case tests whether GenAI can validate that link against the open text itself: where respondents select the same reason code, does the verbatim text agree, or does it split into materially different sub-issues that the single reason code is currently masking?</w:t>
      </w:r>
    </w:p>
    <w:p>
      <w:pPr>
        <w:pStyle w:val="Heading3"/>
        <w:spacing w:after="80" w:before="280"/>
      </w:pPr>
      <w:r>
        <w:rPr>
          <w:rFonts w:ascii="Arial" w:cs="Arial" w:eastAsia="Arial" w:hAnsi="Arial"/>
          <w:b/>
          <w:bCs/>
          <w:color w:val="1F4E79"/>
          <w:sz w:val="25"/>
          <w:szCs w:val="25"/>
        </w:rPr>
        <w:t xml:space="preserve">3. Sentiment-Intensity Scoring Alongside the Satisfaction Score</w:t>
      </w:r>
    </w:p>
    <w:p>
      <w:pPr>
        <w:spacing w:after="200" w:line="276"/>
      </w:pPr>
      <w:r>
        <w:rPr>
          <w:sz w:val="23"/>
          <w:szCs w:val="23"/>
        </w:rPr>
        <w:t xml:space="preserve">A moderate score paired with a strongly negative comment, and the same score paired with a mild comment, carry different operational weight — though existing driver models treat them identically. This use case explores whether GenAI-derived sentiment intensity on the verbatim, plotted against the numeric score, can flag where the two diverge meaningfully.</w:t>
      </w:r>
    </w:p>
    <w:p>
      <w:pPr>
        <w:pStyle w:val="Heading3"/>
        <w:spacing w:after="80" w:before="280"/>
      </w:pPr>
      <w:r>
        <w:rPr>
          <w:rFonts w:ascii="Arial" w:cs="Arial" w:eastAsia="Arial" w:hAnsi="Arial"/>
          <w:b/>
          <w:bCs/>
          <w:color w:val="1F4E79"/>
          <w:sz w:val="25"/>
          <w:szCs w:val="25"/>
        </w:rPr>
        <w:t xml:space="preserve">4. Manager vs. Colleague Narrative Comparison on Shared Touchpoints</w:t>
      </w:r>
    </w:p>
    <w:p>
      <w:pPr>
        <w:spacing w:after="200" w:line="276"/>
      </w:pPr>
      <w:r>
        <w:rPr>
          <w:sz w:val="23"/>
          <w:szCs w:val="23"/>
        </w:rPr>
        <w:t xml:space="preserve">For touchpoints completed by both managers and colleagues, this use case compares the thematic content of what each group says in their own words — not only whether their average scores differ, but whether they are describing the same underlying issue differently, or genuinely different issues.</w:t>
      </w:r>
    </w:p>
    <w:p>
      <w:pPr>
        <w:pStyle w:val="Heading3"/>
        <w:spacing w:after="80" w:before="280"/>
      </w:pPr>
      <w:r>
        <w:rPr>
          <w:rFonts w:ascii="Arial" w:cs="Arial" w:eastAsia="Arial" w:hAnsi="Arial"/>
          <w:b/>
          <w:bCs/>
          <w:color w:val="1F4E79"/>
          <w:sz w:val="25"/>
          <w:szCs w:val="25"/>
        </w:rPr>
        <w:t xml:space="preserve">5. Sample-Honest Cross-Touchpoint Synthesis</w:t>
      </w:r>
    </w:p>
    <w:p>
      <w:pPr>
        <w:spacing w:after="200" w:line="276"/>
      </w:pPr>
      <w:r>
        <w:rPr>
          <w:sz w:val="23"/>
          <w:szCs w:val="23"/>
        </w:rPr>
        <w:t xml:space="preserve">Because each respondent sees only 11 of 51 touchpoints, no two touchpoints are evaluated by the same respondent pool. This use case asks Qualtrics to demonstrate how their GenAI layer handles or flags this when generating cross-touchpoint comparisons — confirming that comparisons account for the split-sample design rather than treating all touchpoints as drawn from one common population.</w:t>
      </w:r>
    </w:p>
    <w:p>
      <w:pPr>
        <w:pStyle w:val="Heading3"/>
        <w:spacing w:after="80" w:before="280"/>
      </w:pPr>
      <w:r>
        <w:rPr>
          <w:rFonts w:ascii="Arial" w:cs="Arial" w:eastAsia="Arial" w:hAnsi="Arial"/>
          <w:b/>
          <w:bCs/>
          <w:color w:val="1F4E79"/>
          <w:sz w:val="25"/>
          <w:szCs w:val="25"/>
        </w:rPr>
        <w:t xml:space="preserve">6. Wave-over-Wave Theme Drift</w:t>
      </w:r>
    </w:p>
    <w:p>
      <w:pPr>
        <w:spacing w:after="200" w:line="276"/>
      </w:pPr>
      <w:r>
        <w:rPr>
          <w:sz w:val="23"/>
          <w:szCs w:val="23"/>
        </w:rPr>
        <w:t xml:space="preserve">The existing dashboard trends the satisfaction score across waves. This use case extends that to trending the underlying theme mix — testing whether a touchpoint with a stable score across waves might still show a shift in its dominant complaint category, indicating the underlying issue has changed even where the headline number has not.</w:t>
      </w:r>
    </w:p>
    <w:p>
      <w:pPr>
        <w:pStyle w:val="Heading3"/>
        <w:spacing w:after="80" w:before="280"/>
      </w:pPr>
      <w:r>
        <w:rPr>
          <w:rFonts w:ascii="Arial" w:cs="Arial" w:eastAsia="Arial" w:hAnsi="Arial"/>
          <w:b/>
          <w:bCs/>
          <w:color w:val="1F4E79"/>
          <w:sz w:val="25"/>
          <w:szCs w:val="25"/>
        </w:rPr>
        <w:t xml:space="preserve">7. Auto-Summarised Verbatim Digests for Touchpoint Owners</w:t>
      </w:r>
    </w:p>
    <w:p>
      <w:pPr>
        <w:spacing w:after="200" w:line="276"/>
      </w:pPr>
      <w:r>
        <w:rPr>
          <w:sz w:val="23"/>
          <w:szCs w:val="23"/>
        </w:rPr>
        <w:t xml:space="preserve">Each of the 51 touchpoints has a functional owner (for example, Talent Acquisition for hiring-stage touchpoints, Learning &amp; Development for progression-stage touchpoints). This use case tests whether Qualtrics can generate a short, owner-specific digest of top themes and representative anonymised comment patterns for a single touchpoint — removing the need for owners to read the full verbatim set or wait on a central reporting cycle.</w:t>
      </w:r>
    </w:p>
    <w:p>
      <w:pPr>
        <w:pStyle w:val="Heading2"/>
      </w:pPr>
      <w:r>
        <w:t xml:space="preserve">Open Consideration to Raise with Qualtrics</w:t>
      </w:r>
    </w:p>
    <w:p>
      <w:pPr>
        <w:spacing w:after="0" w:line="276"/>
      </w:pPr>
      <w:r>
        <w:rPr>
          <w:sz w:val="23"/>
          <w:szCs w:val="23"/>
        </w:rPr>
        <w:t xml:space="preserve">Each of the use cases above depends on open-text and multi-select completion rates. If completion on the open-text field runs meaningfully below completion on the satisfaction score, the effective sample size for the qualitative use cases will be lower than the ~1,600-per-touchpoint estimate. This is worth raising directly in the demo: how does Qualtrics’ GenAI layer handle sparse-text touchpoints, and at what response volume does it consider theme extraction statistically reliable versus indicative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F7F7F"/>
        <w:sz w:val="18"/>
        <w:szCs w:val="18"/>
      </w:rPr>
      <w:t xml:space="preserve">Prepared for Qualtrics demo briefing	</w:t>
    </w: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7F7F7F"/>
        <w:sz w:val="18"/>
        <w:szCs w:val="18"/>
      </w:rPr>
      <w:t xml:space="preserve">Colleague Listening — HR Journey Survey</w:t>
    </w:r>
    <w:r>
      <w:rPr>
        <w:color w:val="7F7F7F"/>
        <w:sz w:val="18"/>
        <w:szCs w:val="18"/>
      </w:rPr>
      <w:t xml:space="preserve">	GenAI Objective &amp;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40"/>
      <w:szCs w:val="40"/>
    </w:rPr>
  </w:style>
  <w:style w:type="paragraph" w:styleId="Heading2">
    <w:name w:val="Heading 2"/>
    <w:basedOn w:val="Normal"/>
    <w:next w:val="Normal"/>
    <w:qFormat/>
    <w:pPr>
      <w:pBdr>
        <w:bottom w:val="single" w:color="BFBFBF" w:sz="4" w:space="4"/>
      </w:pBdr>
      <w:spacing w:after="160" w:before="360"/>
      <w:outlineLvl w:val="1"/>
    </w:pPr>
    <w:rPr>
      <w:rFonts w:ascii="Arial" w:cs="Arial" w:eastAsia="Arial" w:hAnsi="Arial"/>
      <w:b/>
      <w:bCs/>
      <w:color w:val="1F4E79"/>
      <w:sz w:val="29"/>
      <w:szCs w:val="29"/>
    </w:rPr>
  </w:style>
  <w:style w:type="paragraph" w:styleId="Heading3">
    <w:name w:val="Heading 3"/>
    <w:basedOn w:val="Normal"/>
    <w:next w:val="Normal"/>
    <w:qFormat/>
    <w:pPr>
      <w:spacing w:after="80" w:before="280"/>
      <w:outlineLvl w:val="2"/>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2026-06-17T12:15:29.907Z</dcterms:created>
  <dcterms:modified xsi:type="dcterms:W3CDTF">2026-06-17T12:15:29.908Z</dcterms:modified>
</cp:coreProperties>
</file>

<file path=docProps/custom.xml><?xml version="1.0" encoding="utf-8"?>
<Properties xmlns="http://schemas.openxmlformats.org/officeDocument/2006/custom-properties" xmlns:vt="http://schemas.openxmlformats.org/officeDocument/2006/docPropsVTypes"/>
</file>