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26"/>
          <w:szCs w:val="26"/>
        </w:rPr>
        <w:t xml:space="preserve">Mandatory Training Survey — Data Quality Issue: Root Cause &amp; Impact Assessment</w:t>
      </w:r>
    </w:p>
    <w:p>
      <w:pPr>
        <w:spacing w:after="140"/>
      </w:pPr>
      <w:r>
        <w:rPr>
          <w:rFonts w:ascii="Arial" w:cs="Arial" w:eastAsia="Arial" w:hAnsi="Arial"/>
          <w:i/>
          <w:iCs/>
          <w:color w:val="595959"/>
          <w:sz w:val="15"/>
          <w:szCs w:val="15"/>
        </w:rPr>
        <w:t xml:space="preserve">Colleague Listening | Customer &amp; Colleague Experience  •  Coverage: Q3 2025, Q1 2026, Q2 2026 (in progress)</w:t>
      </w:r>
    </w:p>
    <w:tbl>
      <w:tblPr>
        <w:tblW w:type="dxa" w:w="14720"/>
        <w:tblBorders>
          <w:top w:val="none" w:color="FFFFFF" w:sz="0"/>
          <w:left w:val="none" w:color="FFFFFF" w:sz="0"/>
          <w:bottom w:val="none" w:color="FFFFFF" w:sz="0"/>
          <w:right w:val="none" w:color="FFFFFF" w:sz="0"/>
          <w:insideH w:val="none" w:color="FFFFFF" w:sz="0"/>
          <w:insideV w:val="none" w:color="FFFFFF" w:sz="0"/>
        </w:tblBorders>
      </w:tblPr>
      <w:tblGrid>
        <w:gridCol w:w="7000"/>
        <w:gridCol w:w="7720"/>
      </w:tblGrid>
      <w:tr>
        <w:tc>
          <w:tcPr>
            <w:tcW w:type="dxa" w:w="7000"/>
            <w:tcBorders>
              <w:top w:val="none" w:color="FFFFFF" w:sz="0"/>
              <w:left w:val="none" w:color="FFFFFF" w:sz="0"/>
              <w:bottom w:val="none" w:color="FFFFFF" w:sz="0"/>
              <w:right w:val="none" w:color="FFFFFF" w:sz="0"/>
            </w:tcBorders>
            <w:tcMar>
              <w:right w:type="dxa" w:w="200"/>
            </w:tcMar>
          </w:tcPr>
          <w:p>
            <w:pPr>
              <w:pBdr>
                <w:bottom w:val="single" w:color="2E75B6" w:sz="6" w:space="1"/>
              </w:pBdr>
              <w:spacing w:after="60" w:before="160"/>
            </w:pPr>
            <w:r>
              <w:rPr>
                <w:rFonts w:ascii="Arial" w:cs="Arial" w:eastAsia="Arial" w:hAnsi="Arial"/>
                <w:b/>
                <w:bCs/>
                <w:color w:val="1F3864"/>
                <w:sz w:val="19"/>
                <w:szCs w:val="19"/>
              </w:rPr>
              <w:t xml:space="preserve">What Happened</w:t>
            </w:r>
          </w:p>
          <w:p>
            <w:pPr>
              <w:spacing w:after="60"/>
            </w:pPr>
            <w:r>
              <w:rPr>
                <w:rFonts w:ascii="Arial" w:cs="Arial" w:eastAsia="Arial" w:hAnsi="Arial"/>
                <w:b w:val="false"/>
                <w:bCs w:val="false"/>
                <w:i w:val="false"/>
                <w:iCs w:val="false"/>
                <w:color w:val="262626"/>
                <w:sz w:val="17"/>
                <w:szCs w:val="17"/>
              </w:rPr>
              <w:t xml:space="preserve">A data quality issue has been identified in the mandatory training survey, resulting in duplicate response submissions across Q3 2025, Q1 2026 and Q2 2026 (in progress). This inflated total response counts and response rates, and introduced a small but consistent skew in question-level sentiment scores.</w:t>
            </w:r>
          </w:p>
          <w:p>
            <w:pPr>
              <w:pBdr>
                <w:bottom w:val="single" w:color="2E75B6" w:sz="6" w:space="1"/>
              </w:pBdr>
              <w:spacing w:after="60" w:before="160"/>
            </w:pPr>
            <w:r>
              <w:rPr>
                <w:rFonts w:ascii="Arial" w:cs="Arial" w:eastAsia="Arial" w:hAnsi="Arial"/>
                <w:b/>
                <w:bCs/>
                <w:color w:val="1F3864"/>
                <w:sz w:val="19"/>
                <w:szCs w:val="19"/>
              </w:rPr>
              <w:t xml:space="preserve">Root Cause</w:t>
            </w:r>
          </w:p>
          <w:p>
            <w:pPr>
              <w:pStyle w:val="ListParagraph"/>
              <w:numPr>
                <w:ilvl w:val="0"/>
                <w:numId w:val="2"/>
              </w:numPr>
              <w:spacing w:after="40"/>
            </w:pPr>
            <w:r>
              <w:rPr>
                <w:rFonts w:ascii="Arial" w:cs="Arial" w:eastAsia="Arial" w:hAnsi="Arial"/>
                <w:b w:val="false"/>
                <w:bCs w:val="false"/>
                <w:color w:val="262626"/>
                <w:sz w:val="17"/>
                <w:szCs w:val="17"/>
              </w:rPr>
              <w:t xml:space="preserve">Survey administration moved from Qualtrics EX to CX to enable automated Workday-based sampling; this integration proved infeasible, and CX continued to be used as a manually-managed trend survey.</w:t>
            </w:r>
          </w:p>
          <w:p>
            <w:pPr>
              <w:pStyle w:val="ListParagraph"/>
              <w:numPr>
                <w:ilvl w:val="0"/>
                <w:numId w:val="2"/>
              </w:numPr>
              <w:spacing w:after="40"/>
            </w:pPr>
            <w:r>
              <w:rPr>
                <w:rFonts w:ascii="Arial" w:cs="Arial" w:eastAsia="Arial" w:hAnsi="Arial"/>
                <w:b w:val="false"/>
                <w:bCs w:val="false"/>
                <w:color w:val="262626"/>
                <w:sz w:val="17"/>
                <w:szCs w:val="17"/>
              </w:rPr>
              <w:t xml:space="preserve">Q1–Q2 2025 (CX, no Task Card) saw low response rates of 14–16%, versus 25%+ typically achieved via Task Card.</w:t>
            </w:r>
          </w:p>
          <w:p>
            <w:pPr>
              <w:pStyle w:val="ListParagraph"/>
              <w:numPr>
                <w:ilvl w:val="0"/>
                <w:numId w:val="2"/>
              </w:numPr>
              <w:spacing w:after="40"/>
            </w:pPr>
            <w:r>
              <w:rPr>
                <w:rFonts w:ascii="Arial" w:cs="Arial" w:eastAsia="Arial" w:hAnsi="Arial"/>
                <w:b w:val="false"/>
                <w:bCs w:val="false"/>
                <w:color w:val="262626"/>
                <w:sz w:val="17"/>
                <w:szCs w:val="17"/>
              </w:rPr>
              <w:t xml:space="preserve">From Q3 2025, a BNow Task Card was introduced to lift response rates. The CX–BNow integration only supports a generic survey link (unlike EX, which supports unique links per respondent).</w:t>
            </w:r>
          </w:p>
          <w:p>
            <w:pPr>
              <w:pStyle w:val="ListParagraph"/>
              <w:numPr>
                <w:ilvl w:val="0"/>
                <w:numId w:val="2"/>
              </w:numPr>
              <w:spacing w:after="40"/>
            </w:pPr>
            <w:r>
              <w:rPr>
                <w:rFonts w:ascii="Arial" w:cs="Arial" w:eastAsia="Arial" w:hAnsi="Arial"/>
                <w:b w:val="false"/>
                <w:bCs w:val="false"/>
                <w:color w:val="262626"/>
                <w:sz w:val="17"/>
                <w:szCs w:val="17"/>
              </w:rPr>
              <w:t xml:space="preserve">Multi-response submission was enabled in CX to allow colleagues targeted in a later quarter to respond again against the same recurring survey/link.</w:t>
            </w:r>
          </w:p>
          <w:p>
            <w:pPr>
              <w:pStyle w:val="ListParagraph"/>
              <w:numPr>
                <w:ilvl w:val="0"/>
                <w:numId w:val="2"/>
              </w:numPr>
              <w:spacing w:after="40"/>
            </w:pPr>
            <w:r>
              <w:rPr>
                <w:rFonts w:ascii="Arial" w:cs="Arial" w:eastAsia="Arial" w:hAnsi="Arial"/>
                <w:b w:val="false"/>
                <w:bCs w:val="false"/>
                <w:color w:val="262626"/>
                <w:sz w:val="17"/>
                <w:szCs w:val="17"/>
              </w:rPr>
              <w:t xml:space="preserve">The Task Card does not auto-remove on survey completion; colleagues must manually clear it, which does not happen consistently.</w:t>
            </w:r>
          </w:p>
          <w:p>
            <w:pPr>
              <w:pStyle w:val="ListParagraph"/>
              <w:numPr>
                <w:ilvl w:val="0"/>
                <w:numId w:val="2"/>
              </w:numPr>
              <w:spacing w:after="40"/>
            </w:pPr>
            <w:r>
              <w:rPr>
                <w:rFonts w:ascii="Arial" w:cs="Arial" w:eastAsia="Arial" w:hAnsi="Arial"/>
                <w:b w:val="false"/>
                <w:bCs w:val="false"/>
                <w:color w:val="262626"/>
                <w:sz w:val="17"/>
                <w:szCs w:val="17"/>
              </w:rPr>
              <w:t xml:space="preserve">Combined effect: generic link + multi-response submission + non-removing Task Card allowed the same colleague to submit multiple times, inflating response counts.</w:t>
            </w:r>
          </w:p>
          <w:p>
            <w:pPr>
              <w:spacing w:after="100"/>
            </w:pPr>
            <w:r>
              <w:rPr>
                <w:rFonts w:ascii="Arial" w:cs="Arial" w:eastAsia="Arial" w:hAnsi="Arial"/>
                <w:b w:val="false"/>
                <w:bCs w:val="false"/>
                <w:i/>
                <w:iCs/>
                <w:color w:val="595959"/>
                <w:sz w:val="14"/>
                <w:szCs w:val="14"/>
              </w:rPr>
              <w:t xml:space="preserve">Note: this is the root cause identified through investigation to date and is being validated; the assessment below uses it as the working basis for impact quantification.</w:t>
            </w:r>
          </w:p>
          <w:p>
            <w:pPr>
              <w:pBdr>
                <w:bottom w:val="single" w:color="2E75B6" w:sz="6" w:space="1"/>
              </w:pBdr>
              <w:spacing w:after="60" w:before="160"/>
            </w:pPr>
            <w:r>
              <w:rPr>
                <w:rFonts w:ascii="Arial" w:cs="Arial" w:eastAsia="Arial" w:hAnsi="Arial"/>
                <w:b/>
                <w:bCs/>
                <w:color w:val="1F3864"/>
                <w:sz w:val="19"/>
                <w:szCs w:val="19"/>
              </w:rPr>
              <w:t xml:space="preserve">Response Volume &amp; Rate Impact</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Metric</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Q3 2025</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Q1 2026</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Q2 2026*</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Total responses (incl. duplicates)</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2,945</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2,229</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1,582</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Unique responses (duplicates removed)</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2,334</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1,786</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1,312</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Duplicate responses removed</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611</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443</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270</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 incl. duplicates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59%</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45%</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32%</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 unique only</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47%</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36%</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26%</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impact</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-12 pts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-9 pts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-5 pts</w:t>
                  </w:r>
                </w:p>
              </w:tc>
            </w:tr>
          </w:tbl>
          <w:p/>
        </w:tc>
        <w:tc>
          <w:tcPr>
            <w:tcW w:type="dxa" w:w="7720"/>
            <w:tcBorders>
              <w:top w:val="none" w:color="FFFFFF" w:sz="0"/>
              <w:left w:val="none" w:color="FFFFFF" w:sz="0"/>
              <w:bottom w:val="none" w:color="FFFFFF" w:sz="0"/>
              <w:right w:val="none" w:color="FFFFFF" w:sz="0"/>
            </w:tcBorders>
          </w:tcPr>
          <w:p>
            <w:pPr>
              <w:pBdr>
                <w:bottom w:val="single" w:color="2E75B6" w:sz="6" w:space="1"/>
              </w:pBdr>
              <w:spacing w:after="60" w:before="160"/>
            </w:pPr>
            <w:r>
              <w:rPr>
                <w:rFonts w:ascii="Arial" w:cs="Arial" w:eastAsia="Arial" w:hAnsi="Arial"/>
                <w:b/>
                <w:bCs/>
                <w:color w:val="1F3864"/>
                <w:sz w:val="19"/>
                <w:szCs w:val="19"/>
              </w:rPr>
              <w:t xml:space="preserve">Question-Level Impact (Favourable %, all 8 closed-ended questions)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850"/>
              <w:gridCol w:w="850"/>
              <w:gridCol w:w="850"/>
              <w:gridCol w:w="850"/>
              <w:gridCol w:w="850"/>
              <w:gridCol w:w="700"/>
            </w:tblGrid>
            <w:tr>
              <w:trPr>
                <w:tblHeader/>
              </w:trPr>
              <w:tc>
                <w:tcPr>
                  <w:tcW w:type="dxa" w:w="19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Survey Question (Favourable %)</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Q3 2025</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Q1 2026</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Q2 2026*</w:t>
                  </w:r>
                </w:p>
              </w:tc>
              <w:tc>
                <w:tcPr>
                  <w:tcW w:type="dxa" w:w="7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Avg Δ</w:t>
                  </w:r>
                </w:p>
              </w:tc>
            </w:tr>
            <w:tr>
              <w:trPr>
                <w:tblHeader/>
              </w:trPr>
              <w:tc>
                <w:tcPr>
                  <w:tcW w:type="dxa" w:w="19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7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(pts)</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Overall experience with training</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79%</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c>
                <w:tcPr>
                  <w:tcW w:type="dxa" w:w="7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+2</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Relevance of topic/content to work</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+1</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Time spent completing modules</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7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+1</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Navigating through the training</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90%</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0</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Engagement of the modules</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73%</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76%</w:t>
                  </w:r>
                </w:p>
              </w:tc>
              <w:tc>
                <w:tcPr>
                  <w:tcW w:type="dxa" w:w="7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+2</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Ability to apply learning</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72%</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74%</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+2</w:t>
                  </w:r>
                </w:p>
              </w:tc>
            </w:tr>
            <w:tr>
              <w:tc>
                <w:tcPr>
                  <w:tcW w:type="dxa" w:w="190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left"/>
                  </w:pPr>
                  <w:r>
                    <w:rPr>
                      <w:rFonts w:ascii="Arial" w:cs="Arial" w:eastAsia="Arial" w:hAnsi="Arial"/>
                      <w:b/>
                      <w:bCs/>
                      <w:color w:val="262626"/>
                      <w:sz w:val="13"/>
                      <w:szCs w:val="13"/>
                    </w:rPr>
                    <w:t xml:space="preserve">Relevance to legal/regulatory obligations</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63%</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66%</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66%</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67%</w:t>
                  </w:r>
                </w:p>
              </w:tc>
              <w:tc>
                <w:tcPr>
                  <w:tcW w:type="dxa" w:w="85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c>
                <w:tcPr>
                  <w:tcW w:type="dxa" w:w="700"/>
                  <w:tcBorders>
                    <w:top w:val="single" w:color="BFBFBF" w:sz="2"/>
                    <w:left w:val="single" w:color="BFBFBF" w:sz="2"/>
                    <w:bottom w:val="single" w:color="BFBFBF" w:sz="2"/>
                    <w:right w:val="single" w:color="BFBFBF" w:sz="2"/>
                  </w:tcBorders>
                  <w:shd w:fill="FCE8E6"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+3</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Support for compliance obligations</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89%</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c>
                <w:tcPr>
                  <w:tcW w:type="dxa" w:w="7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262626"/>
                      <w:sz w:val="13"/>
                      <w:szCs w:val="13"/>
                    </w:rPr>
                    <w:t xml:space="preserve">+0</w:t>
                  </w:r>
                </w:p>
              </w:tc>
            </w:tr>
          </w:tbl>
          <w:p>
            <w:pPr>
              <w:spacing w:after="40" w:before="60"/>
            </w:pPr>
            <w:r>
              <w:rPr>
                <w:rFonts w:ascii="Arial" w:cs="Arial" w:eastAsia="Arial" w:hAnsi="Arial"/>
                <w:color w:val="595959"/>
                <w:sz w:val="12"/>
                <w:szCs w:val="12"/>
              </w:rPr>
              <w:t xml:space="preserve">Across all 8 questions and 3 quarters, the average favourable-score shift is +1.4 points (range: -1 to +4), and </w:t>
            </w:r>
            <w:r>
              <w:rPr>
                <w:rFonts w:ascii="Arial" w:cs="Arial" w:eastAsia="Arial" w:hAnsi="Arial"/>
                <w:b/>
                <w:bCs/>
                <w:color w:val="595959"/>
                <w:sz w:val="12"/>
                <w:szCs w:val="12"/>
              </w:rPr>
              <w:t xml:space="preserve">19 of 24 quarter-question readings show duplicates modestly overstating favourability</w:t>
            </w:r>
            <w:r>
              <w:rPr>
                <w:rFonts w:ascii="Arial" w:cs="Arial" w:eastAsia="Arial" w:hAnsi="Arial"/>
                <w:color w:val="595959"/>
                <w:sz w:val="12"/>
                <w:szCs w:val="12"/>
              </w:rPr>
              <w:t xml:space="preserve">; no question changes its favourable/unfavourable rating once duplicates are removed.</w:t>
            </w:r>
          </w:p>
          <w:p>
            <w:pPr>
              <w:spacing w:after="100"/>
            </w:pPr>
            <w:r>
              <w:rPr>
                <w:rFonts w:ascii="Arial" w:cs="Arial" w:eastAsia="Arial" w:hAnsi="Arial"/>
                <w:i/>
                <w:iCs/>
                <w:color w:val="595959"/>
                <w:sz w:val="12"/>
                <w:szCs w:val="12"/>
              </w:rPr>
              <w:t xml:space="preserve">*Q2 2026 figures are interim as of last Friday; survey closes next week.  Grey columns show duplicate-inclusive values for reference; shaded row is the largest/most consistent outlier.</w:t>
            </w:r>
          </w:p>
          <w:p>
            <w:pPr>
              <w:pBdr>
                <w:bottom w:val="single" w:color="2E75B6" w:sz="6" w:space="1"/>
              </w:pBdr>
              <w:spacing w:after="60" w:before="160"/>
            </w:pPr>
            <w:r>
              <w:rPr>
                <w:rFonts w:ascii="Arial" w:cs="Arial" w:eastAsia="Arial" w:hAnsi="Arial"/>
                <w:b/>
                <w:bCs/>
                <w:color w:val="1F3864"/>
                <w:sz w:val="19"/>
                <w:szCs w:val="19"/>
              </w:rPr>
              <w:t xml:space="preserve">Assessment &amp; Implications</w:t>
            </w:r>
          </w:p>
          <w:p>
            <w:pPr>
              <w:pStyle w:val="ListParagraph"/>
              <w:numPr>
                <w:ilvl w:val="0"/>
                <w:numId w:val="2"/>
              </w:numPr>
              <w:spacing w:after="40"/>
            </w:pPr>
            <w:r>
              <w:rPr>
                <w:rFonts w:ascii="Arial" w:cs="Arial" w:eastAsia="Arial" w:hAnsi="Arial"/>
                <w:b w:val="false"/>
                <w:bCs w:val="false"/>
                <w:color w:val="262626"/>
                <w:sz w:val="17"/>
                <w:szCs w:val="17"/>
              </w:rPr>
              <w:t xml:space="preserve">Sentiment direction is unaffected: no question flips favourable/unfavourable once duplicates are removed. The shift is 0–2 points for 7 of 8 questions; the exception is “Relevance to legal/regulatory obligations” at +3 to +4 points — the one compliance-specific item on the survey, flagged here for visibility even though still a modest absolute shift.</w:t>
            </w:r>
          </w:p>
          <w:p>
            <w:pPr>
              <w:pStyle w:val="ListParagraph"/>
              <w:numPr>
                <w:ilvl w:val="0"/>
                <w:numId w:val="2"/>
              </w:numPr>
              <w:spacing w:after="40"/>
            </w:pPr>
            <w:r>
              <w:rPr>
                <w:rFonts w:ascii="Arial" w:cs="Arial" w:eastAsia="Arial" w:hAnsi="Arial"/>
                <w:b w:val="false"/>
                <w:bCs w:val="false"/>
                <w:color w:val="262626"/>
                <w:sz w:val="17"/>
                <w:szCs w:val="17"/>
              </w:rPr>
              <w:t xml:space="preserve">The pattern (small, mostly positive shifts, concentrated among repeat completers) is consistent with known survey-methodology ‘satisficing’/straight-lining behaviour in repeat responses, rather than a genuine change in colleague sentiment.</w:t>
            </w:r>
          </w:p>
          <w:p>
            <w:pPr>
              <w:pStyle w:val="ListParagraph"/>
              <w:numPr>
                <w:ilvl w:val="0"/>
                <w:numId w:val="2"/>
              </w:numPr>
              <w:spacing w:after="40"/>
            </w:pPr>
            <w:r>
              <w:rPr>
                <w:rFonts w:ascii="Arial" w:cs="Arial" w:eastAsia="Arial" w:hAnsi="Arial"/>
                <w:b w:val="false"/>
                <w:bCs w:val="false"/>
                <w:color w:val="262626"/>
                <w:sz w:val="17"/>
                <w:szCs w:val="17"/>
              </w:rPr>
              <w:t xml:space="preserve">The more material distortion is in reported response rates (5–12 points lower once corrected), which has greater bearing on perceived survey reach/participation than on the underlying sentiment trends.</w:t>
            </w:r>
          </w:p>
          <w:p>
            <w:pPr>
              <w:pStyle w:val="ListParagraph"/>
              <w:numPr>
                <w:ilvl w:val="0"/>
                <w:numId w:val="2"/>
              </w:numPr>
              <w:spacing w:after="40"/>
            </w:pPr>
            <w:r>
              <w:rPr>
                <w:rFonts w:ascii="Arial" w:cs="Arial" w:eastAsia="Arial" w:hAnsi="Arial"/>
                <w:b w:val="false"/>
                <w:bCs w:val="false"/>
                <w:color w:val="262626"/>
                <w:sz w:val="17"/>
                <w:szCs w:val="17"/>
              </w:rPr>
              <w:t xml:space="preserve">Assessment to date points to a data governance/integrity control gap in survey configuration. Given the directional consistency of the bias (19 of 24 quarter-question readings overstate favourability), we recommend explicit confirmation with stakeholders who used Q3 2025/Q1 2026 outputs downstream, rather than asserting no decision impact at this stage.</w:t>
            </w:r>
          </w:p>
          <w:p>
            <w:pPr>
              <w:pBdr>
                <w:bottom w:val="single" w:color="2E75B6" w:sz="6" w:space="1"/>
              </w:pBdr>
              <w:spacing w:after="60" w:before="160"/>
            </w:pPr>
            <w:r>
              <w:rPr>
                <w:rFonts w:ascii="Arial" w:cs="Arial" w:eastAsia="Arial" w:hAnsi="Arial"/>
                <w:b/>
                <w:bCs/>
                <w:color w:val="1F3864"/>
                <w:sz w:val="19"/>
                <w:szCs w:val="19"/>
              </w:rPr>
              <w:t xml:space="preserve">Corrective Actions</w:t>
            </w:r>
          </w:p>
          <w:p>
            <w:pPr>
              <w:pStyle w:val="ListParagraph"/>
              <w:numPr>
                <w:ilvl w:val="0"/>
                <w:numId w:val="2"/>
              </w:numPr>
              <w:spacing w:after="40"/>
            </w:pPr>
            <w:r>
              <w:rPr>
                <w:rFonts w:ascii="Arial" w:cs="Arial" w:eastAsia="Arial" w:hAnsi="Arial"/>
                <w:b w:val="false"/>
                <w:bCs w:val="false"/>
                <w:color w:val="262626"/>
                <w:sz w:val="17"/>
                <w:szCs w:val="17"/>
              </w:rPr>
              <w:t xml:space="preserve">Immediate (in place): Multi-response submission disabled for the current survey cycle — single response per participant only; tested and confirmed working with no duplicates captured.</w:t>
            </w:r>
          </w:p>
          <w:p>
            <w:pPr>
              <w:pStyle w:val="ListParagraph"/>
              <w:numPr>
                <w:ilvl w:val="0"/>
                <w:numId w:val="2"/>
              </w:numPr>
              <w:spacing w:after="40"/>
            </w:pPr>
            <w:r>
              <w:rPr>
                <w:rFonts w:ascii="Arial" w:cs="Arial" w:eastAsia="Arial" w:hAnsi="Arial"/>
                <w:b w:val="false"/>
                <w:bCs w:val="false"/>
                <w:color w:val="262626"/>
                <w:sz w:val="17"/>
                <w:szCs w:val="17"/>
              </w:rPr>
              <w:t xml:space="preserve">Planned: Request BNow team explore unique-link (rather than generic-link) support for Task Card integration with CX.</w:t>
            </w:r>
          </w:p>
          <w:p>
            <w:pPr>
              <w:pStyle w:val="ListParagraph"/>
              <w:numPr>
                <w:ilvl w:val="0"/>
                <w:numId w:val="2"/>
              </w:numPr>
              <w:spacing w:after="40"/>
            </w:pPr>
            <w:r>
              <w:rPr>
                <w:rFonts w:ascii="Arial" w:cs="Arial" w:eastAsia="Arial" w:hAnsi="Arial"/>
                <w:b w:val="false"/>
                <w:bCs w:val="false"/>
                <w:color w:val="262626"/>
                <w:sz w:val="17"/>
                <w:szCs w:val="17"/>
              </w:rPr>
              <w:t xml:space="preserve">Planned: Re-architect survey setup so each quarterly wave uses its own survey instance with multi-response disabled by default, while preserving trend analysis via a consistent source field across waves — approach to be tested and aligned with the team.</w:t>
            </w:r>
          </w:p>
          <w:p>
            <w:pPr>
              <w:pStyle w:val="ListParagraph"/>
              <w:numPr>
                <w:ilvl w:val="0"/>
                <w:numId w:val="2"/>
              </w:numPr>
              <w:spacing w:after="40"/>
            </w:pPr>
            <w:r>
              <w:rPr>
                <w:rFonts w:ascii="Arial" w:cs="Arial" w:eastAsia="Arial" w:hAnsi="Arial"/>
                <w:b w:val="false"/>
                <w:bCs w:val="false"/>
                <w:color w:val="262626"/>
                <w:sz w:val="17"/>
                <w:szCs w:val="17"/>
              </w:rPr>
              <w:t xml:space="preserve">To be discussed: Feasibility of periodic (e.g. weekly) data cleanup during the 3-week survey window as an interim safeguard.</w:t>
            </w:r>
          </w:p>
        </w:tc>
      </w:tr>
    </w:tbl>
    <w:sectPr>
      <w:pgSz w:w="15840" w:h="12240" w:orient="landscape"/>
      <w:pgMar w:top="560" w:right="560" w:bottom="5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lvl w:ilvl="1" w15:tentative="1">
      <w:start w:val="1"/>
      <w:numFmt w:val="bullet"/>
      <w:lvlText w:val="–"/>
      <w:lvlJc w:val="left"/>
      <w:pPr>
        <w:ind w:left="5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2026-06-21T10:11:32.118Z</dcterms:created>
  <dcterms:modified xsi:type="dcterms:W3CDTF">2026-06-21T10:11:32.134Z</dcterms:modified>
</cp:coreProperties>
</file>

<file path=docProps/custom.xml><?xml version="1.0" encoding="utf-8"?>
<Properties xmlns="http://schemas.openxmlformats.org/officeDocument/2006/custom-properties" xmlns:vt="http://schemas.openxmlformats.org/officeDocument/2006/docPropsVTypes"/>
</file>