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AF2E5" w14:textId="7AE1EA74" w:rsidR="009B0FB0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</w:t>
      </w:r>
    </w:p>
    <w:p w14:paraId="74150EE2" w14:textId="77777777" w:rsidR="009B0FB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6E8F02E" w14:textId="77777777" w:rsidR="009B0FB0" w:rsidRDefault="009B0FB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B0FB0" w14:paraId="267BB5F9" w14:textId="77777777">
        <w:tc>
          <w:tcPr>
            <w:tcW w:w="4508" w:type="dxa"/>
          </w:tcPr>
          <w:p w14:paraId="11530D20" w14:textId="77777777" w:rsidR="009B0F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A2B3421" w14:textId="3CB852FE" w:rsidR="009B0F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F971BB">
              <w:rPr>
                <w:rFonts w:ascii="Calibri" w:eastAsia="Calibri" w:hAnsi="Calibri" w:cs="Calibri"/>
              </w:rPr>
              <w:t>6</w:t>
            </w:r>
          </w:p>
        </w:tc>
      </w:tr>
      <w:tr w:rsidR="009B0FB0" w14:paraId="2222FB72" w14:textId="77777777">
        <w:tc>
          <w:tcPr>
            <w:tcW w:w="4508" w:type="dxa"/>
          </w:tcPr>
          <w:p w14:paraId="7300DF14" w14:textId="77777777" w:rsidR="009B0F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37B095E" w14:textId="049EBA0C" w:rsidR="009B0FB0" w:rsidRDefault="00DA5D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1</w:t>
            </w:r>
          </w:p>
        </w:tc>
      </w:tr>
      <w:tr w:rsidR="009B0FB0" w14:paraId="25D950D2" w14:textId="77777777">
        <w:tc>
          <w:tcPr>
            <w:tcW w:w="4508" w:type="dxa"/>
          </w:tcPr>
          <w:p w14:paraId="331502E8" w14:textId="77777777" w:rsidR="009B0F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81D447D" w14:textId="192069B3" w:rsidR="009B0FB0" w:rsidRPr="00F971BB" w:rsidRDefault="00F971BB">
            <w:pPr>
              <w:rPr>
                <w:rFonts w:ascii="Calibri" w:eastAsia="Calibri" w:hAnsi="Calibri" w:cs="Calibri"/>
                <w:lang w:val="en-IN"/>
              </w:rPr>
            </w:pPr>
            <w:r w:rsidRPr="00F971BB">
              <w:rPr>
                <w:rFonts w:ascii="Calibri" w:eastAsia="Calibri" w:hAnsi="Calibri" w:cs="Calibri"/>
                <w:lang w:val="en-IN"/>
              </w:rPr>
              <w:t>Automating Data Import and Relationship Mapping using Import Sets and Dot Walking</w:t>
            </w:r>
          </w:p>
        </w:tc>
      </w:tr>
      <w:tr w:rsidR="009B0FB0" w14:paraId="01814E55" w14:textId="77777777">
        <w:tc>
          <w:tcPr>
            <w:tcW w:w="4508" w:type="dxa"/>
          </w:tcPr>
          <w:p w14:paraId="1CFE40DD" w14:textId="77777777" w:rsidR="009B0F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10B1714" w14:textId="77777777" w:rsidR="009B0FB0" w:rsidRDefault="009B0FB0">
            <w:pPr>
              <w:rPr>
                <w:rFonts w:ascii="Calibri" w:eastAsia="Calibri" w:hAnsi="Calibri" w:cs="Calibri"/>
              </w:rPr>
            </w:pPr>
          </w:p>
        </w:tc>
      </w:tr>
    </w:tbl>
    <w:p w14:paraId="58A6D437" w14:textId="77777777" w:rsidR="009B0FB0" w:rsidRDefault="009B0FB0">
      <w:bookmarkStart w:id="1" w:name="_35ti2rx0yahx" w:colFirst="0" w:colLast="0"/>
      <w:bookmarkEnd w:id="1"/>
    </w:p>
    <w:p w14:paraId="13282ACF" w14:textId="77777777" w:rsidR="009B0FB0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r>
        <w:rPr>
          <w:b/>
          <w:sz w:val="20"/>
          <w:szCs w:val="20"/>
        </w:rPr>
        <w:t>Test Scenarios &amp; Results</w:t>
      </w:r>
    </w:p>
    <w:tbl>
      <w:tblPr>
        <w:tblStyle w:val="TableGrid"/>
        <w:tblW w:w="9360" w:type="dxa"/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4001DD" w14:paraId="738B7D27" w14:textId="77777777" w:rsidTr="004001DD">
        <w:trPr>
          <w:trHeight w:val="1055"/>
          <w:tblHeader/>
        </w:trPr>
        <w:tc>
          <w:tcPr>
            <w:tcW w:w="869" w:type="dxa"/>
          </w:tcPr>
          <w:p w14:paraId="06FF0A90" w14:textId="13FBCA58" w:rsidR="004001DD" w:rsidRPr="004001DD" w:rsidRDefault="004001DD" w:rsidP="004001DD">
            <w:pPr>
              <w:widowControl w:val="0"/>
              <w:jc w:val="center"/>
              <w:rPr>
                <w:sz w:val="20"/>
                <w:szCs w:val="20"/>
              </w:rPr>
            </w:pPr>
            <w:r w:rsidRPr="004001DD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Test Case ID</w:t>
            </w:r>
          </w:p>
        </w:tc>
        <w:tc>
          <w:tcPr>
            <w:tcW w:w="2214" w:type="dxa"/>
          </w:tcPr>
          <w:p w14:paraId="0144F51B" w14:textId="161F172F" w:rsidR="004001DD" w:rsidRPr="004001DD" w:rsidRDefault="004001DD" w:rsidP="004001DD">
            <w:pPr>
              <w:widowControl w:val="0"/>
              <w:jc w:val="center"/>
              <w:rPr>
                <w:sz w:val="20"/>
                <w:szCs w:val="20"/>
              </w:rPr>
            </w:pPr>
            <w:r w:rsidRPr="004001DD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Scenario (What to test)</w:t>
            </w:r>
          </w:p>
        </w:tc>
        <w:tc>
          <w:tcPr>
            <w:tcW w:w="2030" w:type="dxa"/>
          </w:tcPr>
          <w:p w14:paraId="4D7BC887" w14:textId="5C41D83F" w:rsidR="004001DD" w:rsidRPr="004001DD" w:rsidRDefault="004001DD" w:rsidP="004001DD">
            <w:pPr>
              <w:widowControl w:val="0"/>
              <w:jc w:val="center"/>
              <w:rPr>
                <w:sz w:val="20"/>
                <w:szCs w:val="20"/>
              </w:rPr>
            </w:pPr>
            <w:r w:rsidRPr="004001DD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Test Steps (How to test)</w:t>
            </w:r>
          </w:p>
        </w:tc>
        <w:tc>
          <w:tcPr>
            <w:tcW w:w="2143" w:type="dxa"/>
          </w:tcPr>
          <w:p w14:paraId="20C8B3F8" w14:textId="7559CBE3" w:rsidR="004001DD" w:rsidRPr="004001DD" w:rsidRDefault="004001DD" w:rsidP="004001DD">
            <w:pPr>
              <w:widowControl w:val="0"/>
              <w:jc w:val="center"/>
              <w:rPr>
                <w:sz w:val="20"/>
                <w:szCs w:val="20"/>
              </w:rPr>
            </w:pPr>
            <w:r w:rsidRPr="004001DD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Expected Result</w:t>
            </w:r>
          </w:p>
        </w:tc>
        <w:tc>
          <w:tcPr>
            <w:tcW w:w="1024" w:type="dxa"/>
          </w:tcPr>
          <w:p w14:paraId="4EACF6A0" w14:textId="5677C838" w:rsidR="004001DD" w:rsidRPr="004001DD" w:rsidRDefault="004001DD" w:rsidP="004001DD">
            <w:pPr>
              <w:widowControl w:val="0"/>
              <w:jc w:val="center"/>
              <w:rPr>
                <w:sz w:val="20"/>
                <w:szCs w:val="20"/>
              </w:rPr>
            </w:pPr>
            <w:r w:rsidRPr="004001DD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Actual Result</w:t>
            </w:r>
          </w:p>
        </w:tc>
        <w:tc>
          <w:tcPr>
            <w:tcW w:w="1080" w:type="dxa"/>
          </w:tcPr>
          <w:p w14:paraId="5C7E478B" w14:textId="243A84AB" w:rsidR="004001DD" w:rsidRPr="004001DD" w:rsidRDefault="004001DD" w:rsidP="004001DD">
            <w:pPr>
              <w:widowControl w:val="0"/>
              <w:jc w:val="center"/>
              <w:rPr>
                <w:sz w:val="20"/>
                <w:szCs w:val="20"/>
              </w:rPr>
            </w:pPr>
            <w:r w:rsidRPr="004001DD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Pass/Fail</w:t>
            </w:r>
          </w:p>
        </w:tc>
      </w:tr>
      <w:tr w:rsidR="004001DD" w14:paraId="0C586173" w14:textId="77777777" w:rsidTr="004001DD">
        <w:trPr>
          <w:trHeight w:val="1055"/>
        </w:trPr>
        <w:tc>
          <w:tcPr>
            <w:tcW w:w="869" w:type="dxa"/>
          </w:tcPr>
          <w:p w14:paraId="494D4351" w14:textId="4F2E2C0C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FT-01</w:t>
            </w:r>
          </w:p>
        </w:tc>
        <w:tc>
          <w:tcPr>
            <w:tcW w:w="2214" w:type="dxa"/>
          </w:tcPr>
          <w:p w14:paraId="341C67E6" w14:textId="339EBAFE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Data Staging via Load Data (FR-1)</w:t>
            </w:r>
          </w:p>
        </w:tc>
        <w:tc>
          <w:tcPr>
            <w:tcW w:w="2030" w:type="dxa"/>
          </w:tcPr>
          <w:p w14:paraId="04A09FDB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1. Navigate to Load Data.</w:t>
            </w:r>
          </w:p>
          <w:p w14:paraId="212137DA" w14:textId="7D7D2832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12686EE1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2. Upload a valid CSV with 5 employee records.</w:t>
            </w:r>
          </w:p>
          <w:p w14:paraId="4B72688E" w14:textId="08D20E59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40CAA47E" w14:textId="7F21FFFA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 xml:space="preserve">3. Check </w:t>
            </w:r>
            <w:proofErr w:type="spellStart"/>
            <w:r w:rsidRPr="004001DD">
              <w:rPr>
                <w:rStyle w:val="HTMLCode"/>
                <w:rFonts w:eastAsia="Arial"/>
                <w:color w:val="444746"/>
                <w:bdr w:val="none" w:sz="0" w:space="0" w:color="auto" w:frame="1"/>
              </w:rPr>
              <w:t>import_employee</w:t>
            </w:r>
            <w:proofErr w:type="spellEnd"/>
            <w:r w:rsidRPr="004001DD">
              <w:rPr>
                <w:color w:val="1F1F1F"/>
                <w:sz w:val="20"/>
                <w:szCs w:val="20"/>
              </w:rPr>
              <w:t xml:space="preserve"> table.</w:t>
            </w:r>
          </w:p>
        </w:tc>
        <w:tc>
          <w:tcPr>
            <w:tcW w:w="2143" w:type="dxa"/>
          </w:tcPr>
          <w:p w14:paraId="3915499E" w14:textId="22E7CD9F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CSV is accepted; 5 rows are successfully created in the </w:t>
            </w:r>
            <w:proofErr w:type="spellStart"/>
            <w:r w:rsidRPr="004001DD">
              <w:rPr>
                <w:rStyle w:val="HTMLCode"/>
                <w:rFonts w:eastAsia="Arial"/>
                <w:color w:val="444746"/>
                <w:bdr w:val="none" w:sz="0" w:space="0" w:color="auto" w:frame="1"/>
              </w:rPr>
              <w:t>import_employee</w:t>
            </w:r>
            <w:proofErr w:type="spellEnd"/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staging table.</w:t>
            </w:r>
          </w:p>
        </w:tc>
        <w:tc>
          <w:tcPr>
            <w:tcW w:w="1024" w:type="dxa"/>
          </w:tcPr>
          <w:p w14:paraId="00B6160F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478E0E3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3ECC6A43" w14:textId="77777777" w:rsidTr="004001DD">
        <w:trPr>
          <w:trHeight w:val="1055"/>
        </w:trPr>
        <w:tc>
          <w:tcPr>
            <w:tcW w:w="869" w:type="dxa"/>
          </w:tcPr>
          <w:p w14:paraId="359F36D2" w14:textId="65725FA4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FT-02</w:t>
            </w:r>
          </w:p>
        </w:tc>
        <w:tc>
          <w:tcPr>
            <w:tcW w:w="2214" w:type="dxa"/>
          </w:tcPr>
          <w:p w14:paraId="3806D90D" w14:textId="037329C1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Transform Map: String Fields (FR-2)</w:t>
            </w:r>
          </w:p>
        </w:tc>
        <w:tc>
          <w:tcPr>
            <w:tcW w:w="2030" w:type="dxa"/>
          </w:tcPr>
          <w:p w14:paraId="79895B25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1. Run the Transform Map on the staged data.</w:t>
            </w:r>
          </w:p>
          <w:p w14:paraId="257A88F6" w14:textId="7C7AA9D3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68E51C35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 xml:space="preserve">2. Navigate to </w:t>
            </w:r>
            <w:proofErr w:type="spellStart"/>
            <w:r w:rsidRPr="004001DD">
              <w:rPr>
                <w:rStyle w:val="HTMLCode"/>
                <w:rFonts w:ascii="Arial" w:hAnsi="Arial" w:cs="Arial"/>
                <w:color w:val="444746"/>
                <w:bdr w:val="none" w:sz="0" w:space="0" w:color="auto" w:frame="1"/>
              </w:rPr>
              <w:t>sys_user</w:t>
            </w:r>
            <w:proofErr w:type="spellEnd"/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 xml:space="preserve"> table.</w:t>
            </w:r>
          </w:p>
          <w:p w14:paraId="38780B19" w14:textId="6FA3DDA3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79C19B7D" w14:textId="704EA2DC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3. Verify Name, Email, and Phone fields.</w:t>
            </w:r>
          </w:p>
        </w:tc>
        <w:tc>
          <w:tcPr>
            <w:tcW w:w="2143" w:type="dxa"/>
          </w:tcPr>
          <w:p w14:paraId="13770D76" w14:textId="62EF7535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Name, Email, and Phone fields on the new </w:t>
            </w:r>
            <w:proofErr w:type="spellStart"/>
            <w:r w:rsidRPr="004001DD">
              <w:rPr>
                <w:rStyle w:val="HTMLCode"/>
                <w:rFonts w:eastAsia="Arial"/>
                <w:color w:val="444746"/>
                <w:bdr w:val="none" w:sz="0" w:space="0" w:color="auto" w:frame="1"/>
              </w:rPr>
              <w:t>sys_user</w:t>
            </w:r>
            <w:proofErr w:type="spellEnd"/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records exactly match the CSV data.</w:t>
            </w:r>
          </w:p>
        </w:tc>
        <w:tc>
          <w:tcPr>
            <w:tcW w:w="1024" w:type="dxa"/>
          </w:tcPr>
          <w:p w14:paraId="594C35DE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BBB62DC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438318D5" w14:textId="77777777" w:rsidTr="004001DD">
        <w:trPr>
          <w:trHeight w:val="1055"/>
        </w:trPr>
        <w:tc>
          <w:tcPr>
            <w:tcW w:w="869" w:type="dxa"/>
          </w:tcPr>
          <w:p w14:paraId="43156C19" w14:textId="4AD91E3E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FT-03</w:t>
            </w:r>
          </w:p>
        </w:tc>
        <w:tc>
          <w:tcPr>
            <w:tcW w:w="2214" w:type="dxa"/>
          </w:tcPr>
          <w:p w14:paraId="27E0DA2B" w14:textId="2E6134D8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Transform Map: Reference Fields (FR-2)</w:t>
            </w:r>
          </w:p>
        </w:tc>
        <w:tc>
          <w:tcPr>
            <w:tcW w:w="2030" w:type="dxa"/>
          </w:tcPr>
          <w:p w14:paraId="29AE7E55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 xml:space="preserve">1. Open a newly imported user record in </w:t>
            </w:r>
            <w:proofErr w:type="spellStart"/>
            <w:r w:rsidRPr="004001DD">
              <w:rPr>
                <w:rStyle w:val="HTMLCode"/>
                <w:rFonts w:ascii="Arial" w:hAnsi="Arial" w:cs="Arial"/>
                <w:color w:val="444746"/>
                <w:bdr w:val="none" w:sz="0" w:space="0" w:color="auto" w:frame="1"/>
              </w:rPr>
              <w:t>sys_user</w:t>
            </w:r>
            <w:proofErr w:type="spellEnd"/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.</w:t>
            </w:r>
          </w:p>
          <w:p w14:paraId="26314052" w14:textId="0651151E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781E6A5A" w14:textId="4A7D6188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2. Check Department and Manager fields.</w:t>
            </w:r>
          </w:p>
        </w:tc>
        <w:tc>
          <w:tcPr>
            <w:tcW w:w="2143" w:type="dxa"/>
          </w:tcPr>
          <w:p w14:paraId="41E2EA84" w14:textId="4F410E58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Department and Manager fields are successfully linked to the correct existing </w:t>
            </w:r>
            <w:proofErr w:type="spellStart"/>
            <w:r w:rsidRPr="004001DD">
              <w:rPr>
                <w:rStyle w:val="HTMLCode"/>
                <w:rFonts w:eastAsia="Arial"/>
                <w:color w:val="444746"/>
                <w:bdr w:val="none" w:sz="0" w:space="0" w:color="auto" w:frame="1"/>
              </w:rPr>
              <w:t>sys_id</w:t>
            </w:r>
            <w:proofErr w:type="spellEnd"/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records, not just text strings.</w:t>
            </w:r>
          </w:p>
        </w:tc>
        <w:tc>
          <w:tcPr>
            <w:tcW w:w="1024" w:type="dxa"/>
          </w:tcPr>
          <w:p w14:paraId="394BB27B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80ADB12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1A8F63FB" w14:textId="77777777" w:rsidTr="004001DD">
        <w:trPr>
          <w:trHeight w:val="1055"/>
        </w:trPr>
        <w:tc>
          <w:tcPr>
            <w:tcW w:w="869" w:type="dxa"/>
          </w:tcPr>
          <w:p w14:paraId="175C6E4F" w14:textId="06D0DDD0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FT-04</w:t>
            </w:r>
          </w:p>
        </w:tc>
        <w:tc>
          <w:tcPr>
            <w:tcW w:w="2214" w:type="dxa"/>
          </w:tcPr>
          <w:p w14:paraId="500098C0" w14:textId="6B648EA4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Incident Form Auto-Population (FR-4)</w:t>
            </w:r>
          </w:p>
        </w:tc>
        <w:tc>
          <w:tcPr>
            <w:tcW w:w="2030" w:type="dxa"/>
          </w:tcPr>
          <w:p w14:paraId="0AC62258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1. Open a new Incident record.</w:t>
            </w:r>
          </w:p>
          <w:p w14:paraId="6E2034FA" w14:textId="457C0B63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41F0E59A" w14:textId="649D3EB3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2. Select one of the newly imported employees in the "Assigned to" field.</w:t>
            </w:r>
          </w:p>
        </w:tc>
        <w:tc>
          <w:tcPr>
            <w:tcW w:w="2143" w:type="dxa"/>
          </w:tcPr>
          <w:p w14:paraId="51A51558" w14:textId="3518F7C9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The employee's Department and Manager Email automatically appear on the form.</w:t>
            </w:r>
          </w:p>
        </w:tc>
        <w:tc>
          <w:tcPr>
            <w:tcW w:w="1024" w:type="dxa"/>
          </w:tcPr>
          <w:p w14:paraId="4530A6FD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682FF77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36D167D0" w14:textId="77777777" w:rsidTr="004001DD">
        <w:trPr>
          <w:trHeight w:val="1055"/>
        </w:trPr>
        <w:tc>
          <w:tcPr>
            <w:tcW w:w="869" w:type="dxa"/>
          </w:tcPr>
          <w:p w14:paraId="09FB4F75" w14:textId="41F95752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>RT-01</w:t>
            </w:r>
          </w:p>
        </w:tc>
        <w:tc>
          <w:tcPr>
            <w:tcW w:w="2214" w:type="dxa"/>
          </w:tcPr>
          <w:p w14:paraId="0923E29F" w14:textId="7706545A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Error Handling for Missing References (NFR-3: Reliability)</w:t>
            </w:r>
          </w:p>
        </w:tc>
        <w:tc>
          <w:tcPr>
            <w:tcW w:w="2030" w:type="dxa"/>
          </w:tcPr>
          <w:p w14:paraId="2AC8709E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 xml:space="preserve">1. Upload a CSV where one row has a </w:t>
            </w:r>
            <w:proofErr w:type="gramStart"/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Manager</w:t>
            </w:r>
            <w:proofErr w:type="gramEnd"/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 xml:space="preserve"> email that does not exist in the system.</w:t>
            </w:r>
          </w:p>
          <w:p w14:paraId="66953091" w14:textId="42CDAD4E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40B99A32" w14:textId="04751C59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2. Run Transform.</w:t>
            </w:r>
          </w:p>
        </w:tc>
        <w:tc>
          <w:tcPr>
            <w:tcW w:w="2143" w:type="dxa"/>
          </w:tcPr>
          <w:p w14:paraId="2B5D3EFD" w14:textId="27FE15BF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Transform completes. Valid rows are inserted. The invalid row logs an error (or ignores the manager field, based on config) but does not stop the batch.</w:t>
            </w:r>
          </w:p>
        </w:tc>
        <w:tc>
          <w:tcPr>
            <w:tcW w:w="1024" w:type="dxa"/>
          </w:tcPr>
          <w:p w14:paraId="33464D0C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B0696BC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3E50C472" w14:textId="77777777" w:rsidTr="004001DD">
        <w:trPr>
          <w:trHeight w:val="1055"/>
        </w:trPr>
        <w:tc>
          <w:tcPr>
            <w:tcW w:w="869" w:type="dxa"/>
          </w:tcPr>
          <w:p w14:paraId="1A887546" w14:textId="46F9A1CE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ST-01</w:t>
            </w:r>
          </w:p>
        </w:tc>
        <w:tc>
          <w:tcPr>
            <w:tcW w:w="2214" w:type="dxa"/>
          </w:tcPr>
          <w:p w14:paraId="0007C8B0" w14:textId="1B466A42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Role-Based Access to Import (NFR-2: Security)</w:t>
            </w:r>
          </w:p>
        </w:tc>
        <w:tc>
          <w:tcPr>
            <w:tcW w:w="2030" w:type="dxa"/>
          </w:tcPr>
          <w:p w14:paraId="48BE4F05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1. Impersonate a standard ITIL user.</w:t>
            </w:r>
          </w:p>
          <w:p w14:paraId="47EA525A" w14:textId="677E6918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45AABBA3" w14:textId="036610E1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2. Attempt to navigate to "Load Data" or "Transform Maps".</w:t>
            </w:r>
          </w:p>
        </w:tc>
        <w:tc>
          <w:tcPr>
            <w:tcW w:w="2143" w:type="dxa"/>
          </w:tcPr>
          <w:p w14:paraId="41ED42CB" w14:textId="52C3CA4A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Access is denied. Module is hidden or restricted by ACLs. Only Admins/Import Admins have access.</w:t>
            </w:r>
          </w:p>
        </w:tc>
        <w:tc>
          <w:tcPr>
            <w:tcW w:w="1024" w:type="dxa"/>
          </w:tcPr>
          <w:p w14:paraId="46284069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13BCDBF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31EA3A26" w14:textId="77777777" w:rsidTr="004001DD">
        <w:trPr>
          <w:trHeight w:val="1055"/>
        </w:trPr>
        <w:tc>
          <w:tcPr>
            <w:tcW w:w="869" w:type="dxa"/>
          </w:tcPr>
          <w:p w14:paraId="3B8D1BC3" w14:textId="421C296D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ST-02</w:t>
            </w:r>
          </w:p>
        </w:tc>
        <w:tc>
          <w:tcPr>
            <w:tcW w:w="2214" w:type="dxa"/>
          </w:tcPr>
          <w:p w14:paraId="2F6ED338" w14:textId="1277A559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UI Data Visibility (NFR-2: Security)</w:t>
            </w:r>
          </w:p>
        </w:tc>
        <w:tc>
          <w:tcPr>
            <w:tcW w:w="2030" w:type="dxa"/>
          </w:tcPr>
          <w:p w14:paraId="3F8236D7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1. Impersonate an ITIL user.</w:t>
            </w:r>
          </w:p>
          <w:p w14:paraId="017EA037" w14:textId="77929CCD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49A9DAD8" w14:textId="71D503BE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2. View an Incident assigned to the new user.</w:t>
            </w:r>
          </w:p>
        </w:tc>
        <w:tc>
          <w:tcPr>
            <w:tcW w:w="2143" w:type="dxa"/>
          </w:tcPr>
          <w:p w14:paraId="143D5F99" w14:textId="7EF7FC5B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ITIL user can view the dot-walked Department and Manager Email fields without triggering ACL read errors.</w:t>
            </w:r>
          </w:p>
        </w:tc>
        <w:tc>
          <w:tcPr>
            <w:tcW w:w="1024" w:type="dxa"/>
          </w:tcPr>
          <w:p w14:paraId="11891CDE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4253189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4FE7163B" w14:textId="77777777" w:rsidTr="004001DD">
        <w:trPr>
          <w:trHeight w:val="1055"/>
        </w:trPr>
        <w:tc>
          <w:tcPr>
            <w:tcW w:w="869" w:type="dxa"/>
          </w:tcPr>
          <w:p w14:paraId="5DAE0AFA" w14:textId="0A9931BD" w:rsidR="004001DD" w:rsidRPr="004001DD" w:rsidRDefault="004001DD" w:rsidP="004001DD">
            <w:pPr>
              <w:widowControl w:val="0"/>
              <w:rPr>
                <w:b/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UT-01</w:t>
            </w:r>
          </w:p>
        </w:tc>
        <w:tc>
          <w:tcPr>
            <w:tcW w:w="2214" w:type="dxa"/>
          </w:tcPr>
          <w:p w14:paraId="78E812F3" w14:textId="3215CABF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Dynamic Form Updates (NFR-1: Usability)</w:t>
            </w:r>
          </w:p>
        </w:tc>
        <w:tc>
          <w:tcPr>
            <w:tcW w:w="2030" w:type="dxa"/>
          </w:tcPr>
          <w:p w14:paraId="7A2BF753" w14:textId="090FC5E0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1. On an Incident, change the "Assigned to" user to person A, then to person B.</w:t>
            </w:r>
          </w:p>
        </w:tc>
        <w:tc>
          <w:tcPr>
            <w:tcW w:w="2143" w:type="dxa"/>
          </w:tcPr>
          <w:p w14:paraId="03BC1F85" w14:textId="3D26D69A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The dot-walked fields instantly update to reflect person B's details without requiring the user to save or reload the page.</w:t>
            </w:r>
          </w:p>
        </w:tc>
        <w:tc>
          <w:tcPr>
            <w:tcW w:w="1024" w:type="dxa"/>
          </w:tcPr>
          <w:p w14:paraId="6311E83D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1074B78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7E4F812A" w14:textId="77777777" w:rsidTr="004001DD">
        <w:trPr>
          <w:trHeight w:val="1055"/>
        </w:trPr>
        <w:tc>
          <w:tcPr>
            <w:tcW w:w="869" w:type="dxa"/>
          </w:tcPr>
          <w:p w14:paraId="059007D4" w14:textId="16039C94" w:rsidR="004001DD" w:rsidRPr="004001DD" w:rsidRDefault="004001DD" w:rsidP="004001DD">
            <w:pPr>
              <w:widowControl w:val="0"/>
              <w:rPr>
                <w:b/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PT-01</w:t>
            </w:r>
          </w:p>
        </w:tc>
        <w:tc>
          <w:tcPr>
            <w:tcW w:w="2214" w:type="dxa"/>
          </w:tcPr>
          <w:p w14:paraId="01890D76" w14:textId="239A89F2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Form UI Load Time (NFR-4: Performance)</w:t>
            </w:r>
          </w:p>
        </w:tc>
        <w:tc>
          <w:tcPr>
            <w:tcW w:w="2030" w:type="dxa"/>
          </w:tcPr>
          <w:p w14:paraId="7AAADAE2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1. Open an existing Incident with an assigned user.</w:t>
            </w:r>
          </w:p>
          <w:p w14:paraId="079C055E" w14:textId="4E965191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01D61940" w14:textId="0786A4F8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2. Measure page load time.</w:t>
            </w:r>
          </w:p>
        </w:tc>
        <w:tc>
          <w:tcPr>
            <w:tcW w:w="2143" w:type="dxa"/>
          </w:tcPr>
          <w:p w14:paraId="0D935444" w14:textId="53736BF3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The Incident form loads in under 2 seconds. The dot-walked fields do not cause noticeable UI lag.</w:t>
            </w:r>
          </w:p>
        </w:tc>
        <w:tc>
          <w:tcPr>
            <w:tcW w:w="1024" w:type="dxa"/>
          </w:tcPr>
          <w:p w14:paraId="68147387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3A0E3C9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  <w:tr w:rsidR="004001DD" w14:paraId="5514B910" w14:textId="77777777" w:rsidTr="004001DD">
        <w:trPr>
          <w:trHeight w:val="1055"/>
        </w:trPr>
        <w:tc>
          <w:tcPr>
            <w:tcW w:w="869" w:type="dxa"/>
          </w:tcPr>
          <w:p w14:paraId="4918793D" w14:textId="0E01296A" w:rsidR="004001DD" w:rsidRPr="004001DD" w:rsidRDefault="004001DD" w:rsidP="004001DD">
            <w:pPr>
              <w:widowControl w:val="0"/>
              <w:rPr>
                <w:b/>
                <w:sz w:val="20"/>
                <w:szCs w:val="20"/>
              </w:rPr>
            </w:pPr>
            <w:r w:rsidRPr="004001DD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PT-02</w:t>
            </w:r>
          </w:p>
        </w:tc>
        <w:tc>
          <w:tcPr>
            <w:tcW w:w="2214" w:type="dxa"/>
          </w:tcPr>
          <w:p w14:paraId="4AEFEBA8" w14:textId="5D9E7CB5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Bulk Data Processing Limit (NFR-6: Scalability)</w:t>
            </w:r>
          </w:p>
        </w:tc>
        <w:tc>
          <w:tcPr>
            <w:tcW w:w="2030" w:type="dxa"/>
          </w:tcPr>
          <w:p w14:paraId="2423043F" w14:textId="77777777" w:rsidR="004001DD" w:rsidRPr="004001DD" w:rsidRDefault="004001DD" w:rsidP="004001D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4001DD">
              <w:rPr>
                <w:rFonts w:ascii="Arial" w:hAnsi="Arial" w:cs="Arial"/>
                <w:color w:val="1F1F1F"/>
                <w:sz w:val="20"/>
                <w:szCs w:val="20"/>
              </w:rPr>
              <w:t>1. Upload a bulk CSV file containing 2,000 employee records.</w:t>
            </w:r>
          </w:p>
          <w:p w14:paraId="6E66AC37" w14:textId="77C4137F" w:rsidR="004001DD" w:rsidRPr="004001DD" w:rsidRDefault="004001DD" w:rsidP="004001DD">
            <w:pPr>
              <w:rPr>
                <w:color w:val="1F1F1F"/>
                <w:sz w:val="20"/>
                <w:szCs w:val="20"/>
              </w:rPr>
            </w:pPr>
          </w:p>
          <w:p w14:paraId="71306558" w14:textId="73E9B72F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</w:rPr>
              <w:t>2. Execute the Transform Map.</w:t>
            </w:r>
          </w:p>
        </w:tc>
        <w:tc>
          <w:tcPr>
            <w:tcW w:w="2143" w:type="dxa"/>
          </w:tcPr>
          <w:p w14:paraId="68ACCE96" w14:textId="682573FE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  <w:r w:rsidRPr="004001DD">
              <w:rPr>
                <w:color w:val="1F1F1F"/>
                <w:sz w:val="20"/>
                <w:szCs w:val="20"/>
                <w:bdr w:val="none" w:sz="0" w:space="0" w:color="auto" w:frame="1"/>
              </w:rPr>
              <w:t>The platform processes all 2,000 records successfully within a reasonable timeframe (e.g., under 5 minutes) without timing out or degrading platform performance.</w:t>
            </w:r>
          </w:p>
        </w:tc>
        <w:tc>
          <w:tcPr>
            <w:tcW w:w="1024" w:type="dxa"/>
          </w:tcPr>
          <w:p w14:paraId="487E46CE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F6F1F69" w14:textId="77777777" w:rsidR="004001DD" w:rsidRPr="004001DD" w:rsidRDefault="004001DD" w:rsidP="004001DD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01C5946F" w14:textId="77777777" w:rsidR="009B0FB0" w:rsidRDefault="009B0FB0"/>
    <w:p w14:paraId="13DC0486" w14:textId="77777777" w:rsidR="009B0FB0" w:rsidRDefault="009B0FB0"/>
    <w:sectPr w:rsidR="009B0F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FB0"/>
    <w:rsid w:val="001D0C23"/>
    <w:rsid w:val="0033244B"/>
    <w:rsid w:val="003D5A4C"/>
    <w:rsid w:val="004001DD"/>
    <w:rsid w:val="009B0FB0"/>
    <w:rsid w:val="00B41BCF"/>
    <w:rsid w:val="00DA5D5E"/>
    <w:rsid w:val="00F9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8E9B4"/>
  <w15:docId w15:val="{7F32C9E7-0235-4374-A204-B301CBCC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4001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0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4001D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001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Sairam Mangeshkar</dc:creator>
  <cp:lastModifiedBy>Sairam Mangeshkar</cp:lastModifiedBy>
  <cp:revision>2</cp:revision>
  <dcterms:created xsi:type="dcterms:W3CDTF">2026-04-04T16:51:00Z</dcterms:created>
  <dcterms:modified xsi:type="dcterms:W3CDTF">2026-04-04T16:51:00Z</dcterms:modified>
</cp:coreProperties>
</file>