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EBEC0" w14:textId="694EE3B3" w:rsidR="00734E14" w:rsidRDefault="00C42161">
      <w:pPr>
        <w:pStyle w:val="Title"/>
        <w:spacing w:line="259" w:lineRule="auto"/>
      </w:pPr>
      <w:r>
        <w:t>Project Design Phase-I</w:t>
      </w:r>
      <w:r>
        <w:rPr>
          <w:spacing w:val="1"/>
        </w:rPr>
        <w:t xml:space="preserve"> </w:t>
      </w:r>
      <w:r>
        <w:t>Proposed</w:t>
      </w:r>
      <w:r>
        <w:rPr>
          <w:spacing w:val="-4"/>
        </w:rPr>
        <w:t xml:space="preserve"> </w:t>
      </w:r>
      <w:r>
        <w:t>Solution</w:t>
      </w:r>
      <w:r>
        <w:rPr>
          <w:spacing w:val="-4"/>
        </w:rPr>
        <w:t xml:space="preserve"> </w:t>
      </w:r>
    </w:p>
    <w:p w14:paraId="3518B2A1" w14:textId="77777777" w:rsidR="00734E14" w:rsidRDefault="00734E14">
      <w:pPr>
        <w:pStyle w:val="BodyText"/>
        <w:spacing w:before="6"/>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1"/>
        <w:gridCol w:w="4530"/>
      </w:tblGrid>
      <w:tr w:rsidR="00734E14" w14:paraId="5CA05CB8" w14:textId="77777777" w:rsidTr="00D25A50">
        <w:trPr>
          <w:trHeight w:val="220"/>
        </w:trPr>
        <w:tc>
          <w:tcPr>
            <w:tcW w:w="4531" w:type="dxa"/>
          </w:tcPr>
          <w:p w14:paraId="0F898D1A" w14:textId="77777777" w:rsidR="00734E14" w:rsidRDefault="00C42161">
            <w:pPr>
              <w:pStyle w:val="TableParagraph"/>
              <w:spacing w:before="1" w:line="247" w:lineRule="exact"/>
              <w:ind w:left="110"/>
            </w:pPr>
            <w:r>
              <w:t>Date</w:t>
            </w:r>
          </w:p>
        </w:tc>
        <w:tc>
          <w:tcPr>
            <w:tcW w:w="4530" w:type="dxa"/>
          </w:tcPr>
          <w:p w14:paraId="2AF6E448" w14:textId="781314EF" w:rsidR="00734E14" w:rsidRDefault="00D25A50">
            <w:pPr>
              <w:pStyle w:val="TableParagraph"/>
              <w:spacing w:before="1" w:line="247" w:lineRule="exact"/>
              <w:ind w:left="110"/>
            </w:pPr>
            <w:r>
              <w:t>04 November</w:t>
            </w:r>
            <w:r>
              <w:rPr>
                <w:spacing w:val="-2"/>
              </w:rPr>
              <w:t xml:space="preserve"> </w:t>
            </w:r>
            <w:r>
              <w:t>2023</w:t>
            </w:r>
          </w:p>
        </w:tc>
      </w:tr>
      <w:tr w:rsidR="00734E14" w14:paraId="2DB9C1C6" w14:textId="77777777" w:rsidTr="00D25A50">
        <w:trPr>
          <w:trHeight w:val="220"/>
        </w:trPr>
        <w:tc>
          <w:tcPr>
            <w:tcW w:w="4531" w:type="dxa"/>
          </w:tcPr>
          <w:p w14:paraId="0F11F263" w14:textId="77777777" w:rsidR="00734E14" w:rsidRDefault="00C42161">
            <w:pPr>
              <w:pStyle w:val="TableParagraph"/>
              <w:spacing w:before="1" w:line="247" w:lineRule="exact"/>
              <w:ind w:left="110"/>
            </w:pPr>
            <w:r>
              <w:t>Team</w:t>
            </w:r>
            <w:r>
              <w:rPr>
                <w:spacing w:val="-1"/>
              </w:rPr>
              <w:t xml:space="preserve"> </w:t>
            </w:r>
            <w:r>
              <w:t>ID</w:t>
            </w:r>
          </w:p>
        </w:tc>
        <w:tc>
          <w:tcPr>
            <w:tcW w:w="4530" w:type="dxa"/>
          </w:tcPr>
          <w:p w14:paraId="3E8C76E3" w14:textId="0B19E51D" w:rsidR="00734E14" w:rsidRDefault="00C42161" w:rsidP="00D25A50">
            <w:pPr>
              <w:pStyle w:val="TableParagraph"/>
              <w:spacing w:before="5"/>
              <w:rPr>
                <w:rFonts w:ascii="Verdana"/>
                <w:sz w:val="20"/>
              </w:rPr>
            </w:pPr>
            <w:r>
              <w:t>NM2023TMID08774</w:t>
            </w:r>
          </w:p>
        </w:tc>
      </w:tr>
      <w:tr w:rsidR="00734E14" w14:paraId="22F7B7ED" w14:textId="77777777" w:rsidTr="00D25A50">
        <w:trPr>
          <w:trHeight w:val="446"/>
        </w:trPr>
        <w:tc>
          <w:tcPr>
            <w:tcW w:w="4531" w:type="dxa"/>
          </w:tcPr>
          <w:p w14:paraId="4A4BA491" w14:textId="77777777" w:rsidR="00734E14" w:rsidRDefault="00C42161">
            <w:pPr>
              <w:pStyle w:val="TableParagraph"/>
              <w:spacing w:before="7"/>
              <w:ind w:left="110"/>
            </w:pPr>
            <w:r>
              <w:t>Project</w:t>
            </w:r>
            <w:r>
              <w:rPr>
                <w:spacing w:val="-5"/>
              </w:rPr>
              <w:t xml:space="preserve"> </w:t>
            </w:r>
            <w:r>
              <w:t>Name</w:t>
            </w:r>
          </w:p>
        </w:tc>
        <w:tc>
          <w:tcPr>
            <w:tcW w:w="4530" w:type="dxa"/>
          </w:tcPr>
          <w:p w14:paraId="52F52E22" w14:textId="0C9EC33C" w:rsidR="00734E14" w:rsidRDefault="00C42161">
            <w:pPr>
              <w:pStyle w:val="TableParagraph"/>
              <w:spacing w:line="264" w:lineRule="exact"/>
              <w:ind w:left="110" w:right="549"/>
            </w:pPr>
            <w:r>
              <w:t>Project</w:t>
            </w:r>
            <w:r>
              <w:rPr>
                <w:spacing w:val="-5"/>
              </w:rPr>
              <w:t xml:space="preserve"> </w:t>
            </w:r>
            <w:r>
              <w:t>-</w:t>
            </w:r>
            <w:r>
              <w:rPr>
                <w:spacing w:val="-4"/>
              </w:rPr>
              <w:t xml:space="preserve"> </w:t>
            </w:r>
            <w:r w:rsidR="00D25A50" w:rsidRPr="004F68AB">
              <w:t>Digital Marketing</w:t>
            </w:r>
          </w:p>
        </w:tc>
      </w:tr>
    </w:tbl>
    <w:p w14:paraId="1457D651" w14:textId="77777777" w:rsidR="00734E14" w:rsidRDefault="00734E14">
      <w:pPr>
        <w:pStyle w:val="BodyText"/>
        <w:rPr>
          <w:b/>
          <w:sz w:val="20"/>
        </w:rPr>
      </w:pPr>
    </w:p>
    <w:p w14:paraId="08C5A564" w14:textId="77777777" w:rsidR="00734E14" w:rsidRDefault="00734E14">
      <w:pPr>
        <w:pStyle w:val="BodyText"/>
        <w:spacing w:before="1"/>
        <w:rPr>
          <w:b/>
          <w:sz w:val="17"/>
        </w:rPr>
      </w:pPr>
    </w:p>
    <w:p w14:paraId="425788B8" w14:textId="77777777" w:rsidR="00734E14" w:rsidRDefault="00734E14">
      <w:pPr>
        <w:pStyle w:val="BodyText"/>
        <w:spacing w:before="5"/>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4509"/>
      </w:tblGrid>
      <w:tr w:rsidR="00734E14" w14:paraId="7F11486F" w14:textId="77777777">
        <w:trPr>
          <w:trHeight w:val="556"/>
        </w:trPr>
        <w:tc>
          <w:tcPr>
            <w:tcW w:w="903" w:type="dxa"/>
          </w:tcPr>
          <w:p w14:paraId="3324E578" w14:textId="77777777" w:rsidR="00734E14" w:rsidRDefault="00C42161">
            <w:pPr>
              <w:pStyle w:val="TableParagraph"/>
              <w:spacing w:before="1"/>
              <w:ind w:left="0" w:right="295"/>
              <w:jc w:val="right"/>
              <w:rPr>
                <w:b/>
              </w:rPr>
            </w:pPr>
            <w:proofErr w:type="spellStart"/>
            <w:r>
              <w:rPr>
                <w:b/>
              </w:rPr>
              <w:t>S.No</w:t>
            </w:r>
            <w:proofErr w:type="spellEnd"/>
            <w:r>
              <w:rPr>
                <w:b/>
              </w:rPr>
              <w:t>.</w:t>
            </w:r>
          </w:p>
        </w:tc>
        <w:tc>
          <w:tcPr>
            <w:tcW w:w="3659" w:type="dxa"/>
          </w:tcPr>
          <w:p w14:paraId="2983F247" w14:textId="77777777" w:rsidR="00734E14" w:rsidRDefault="00C42161">
            <w:pPr>
              <w:pStyle w:val="TableParagraph"/>
              <w:spacing w:before="1"/>
              <w:rPr>
                <w:b/>
              </w:rPr>
            </w:pPr>
            <w:r>
              <w:rPr>
                <w:b/>
              </w:rPr>
              <w:t>Parameter</w:t>
            </w:r>
          </w:p>
        </w:tc>
        <w:tc>
          <w:tcPr>
            <w:tcW w:w="4509" w:type="dxa"/>
          </w:tcPr>
          <w:p w14:paraId="45F264C9" w14:textId="77777777" w:rsidR="00734E14" w:rsidRDefault="00C42161">
            <w:pPr>
              <w:pStyle w:val="TableParagraph"/>
              <w:spacing w:before="1"/>
              <w:rPr>
                <w:b/>
              </w:rPr>
            </w:pPr>
            <w:r>
              <w:rPr>
                <w:b/>
              </w:rPr>
              <w:t>Description</w:t>
            </w:r>
          </w:p>
        </w:tc>
      </w:tr>
      <w:tr w:rsidR="00734E14" w14:paraId="6415596D" w14:textId="77777777">
        <w:trPr>
          <w:trHeight w:val="4061"/>
        </w:trPr>
        <w:tc>
          <w:tcPr>
            <w:tcW w:w="903" w:type="dxa"/>
          </w:tcPr>
          <w:p w14:paraId="5514CD39" w14:textId="77777777" w:rsidR="00734E14" w:rsidRDefault="00C42161">
            <w:pPr>
              <w:pStyle w:val="TableParagraph"/>
              <w:spacing w:before="1"/>
              <w:ind w:left="0" w:right="332"/>
              <w:jc w:val="right"/>
            </w:pPr>
            <w:r>
              <w:t>1.</w:t>
            </w:r>
          </w:p>
        </w:tc>
        <w:tc>
          <w:tcPr>
            <w:tcW w:w="3659" w:type="dxa"/>
          </w:tcPr>
          <w:p w14:paraId="1A11EA23" w14:textId="77777777" w:rsidR="00734E14" w:rsidRDefault="00C42161">
            <w:pPr>
              <w:pStyle w:val="TableParagraph"/>
              <w:spacing w:before="1"/>
              <w:ind w:right="402"/>
            </w:pPr>
            <w:r>
              <w:rPr>
                <w:color w:val="212121"/>
              </w:rPr>
              <w:t>Problem</w:t>
            </w:r>
            <w:r>
              <w:rPr>
                <w:color w:val="212121"/>
                <w:spacing w:val="-2"/>
              </w:rPr>
              <w:t xml:space="preserve"> </w:t>
            </w:r>
            <w:r>
              <w:rPr>
                <w:color w:val="212121"/>
              </w:rPr>
              <w:t>Statement</w:t>
            </w:r>
            <w:r>
              <w:rPr>
                <w:color w:val="212121"/>
                <w:spacing w:val="-5"/>
              </w:rPr>
              <w:t xml:space="preserve"> </w:t>
            </w:r>
            <w:r>
              <w:rPr>
                <w:color w:val="212121"/>
              </w:rPr>
              <w:t>(Problem</w:t>
            </w:r>
            <w:r>
              <w:rPr>
                <w:color w:val="212121"/>
                <w:spacing w:val="-1"/>
              </w:rPr>
              <w:t xml:space="preserve"> </w:t>
            </w:r>
            <w:r>
              <w:rPr>
                <w:color w:val="212121"/>
              </w:rPr>
              <w:t>to</w:t>
            </w:r>
            <w:r>
              <w:rPr>
                <w:color w:val="212121"/>
                <w:spacing w:val="-4"/>
              </w:rPr>
              <w:t xml:space="preserve"> </w:t>
            </w:r>
            <w:r>
              <w:rPr>
                <w:color w:val="212121"/>
              </w:rPr>
              <w:t>be</w:t>
            </w:r>
            <w:r>
              <w:rPr>
                <w:color w:val="212121"/>
                <w:spacing w:val="-46"/>
              </w:rPr>
              <w:t xml:space="preserve"> </w:t>
            </w:r>
            <w:r>
              <w:rPr>
                <w:color w:val="212121"/>
              </w:rPr>
              <w:t>solved)</w:t>
            </w:r>
          </w:p>
        </w:tc>
        <w:tc>
          <w:tcPr>
            <w:tcW w:w="4509" w:type="dxa"/>
          </w:tcPr>
          <w:p w14:paraId="3C4FFFCE" w14:textId="0815F86D" w:rsidR="00734E14" w:rsidRDefault="00D25A50">
            <w:pPr>
              <w:pStyle w:val="TableParagraph"/>
              <w:ind w:right="126"/>
              <w:rPr>
                <w:rFonts w:ascii="Arial MT"/>
              </w:rPr>
            </w:pPr>
            <w:r w:rsidRPr="00D25A50">
              <w:rPr>
                <w:rFonts w:ascii="Arial MT"/>
              </w:rPr>
              <w:t>The restaurant industry faces an ongoing challenge in minimizing food waste while ensuring consistent food quality and customer satisfaction. Reducing food waste not only has environmental and financial benefits but also contributes to the overall sustainability of the restaurant. The problem at hand is to develop and implement an effective food waste management system that can accurately forecast demand, optimize kitchen operations, and minimize food waste, all while maintaining the high-quality standards expected by customers. This system should be practical for both small local eateries and large restaurant chains, taking into account variations in menu items, customer traffic, and kitchen workflows.</w:t>
            </w:r>
          </w:p>
        </w:tc>
      </w:tr>
      <w:tr w:rsidR="00734E14" w14:paraId="66A4D1FA" w14:textId="77777777" w:rsidTr="00D25A50">
        <w:trPr>
          <w:trHeight w:val="2421"/>
        </w:trPr>
        <w:tc>
          <w:tcPr>
            <w:tcW w:w="903" w:type="dxa"/>
          </w:tcPr>
          <w:p w14:paraId="22149167" w14:textId="77777777" w:rsidR="00734E14" w:rsidRDefault="00C42161">
            <w:pPr>
              <w:pStyle w:val="TableParagraph"/>
              <w:spacing w:before="1"/>
              <w:ind w:left="0" w:right="332"/>
              <w:jc w:val="right"/>
            </w:pPr>
            <w:r>
              <w:t>2.</w:t>
            </w:r>
          </w:p>
        </w:tc>
        <w:tc>
          <w:tcPr>
            <w:tcW w:w="3659" w:type="dxa"/>
          </w:tcPr>
          <w:p w14:paraId="0A1AD7FD" w14:textId="77777777" w:rsidR="00734E14" w:rsidRDefault="00C42161">
            <w:pPr>
              <w:pStyle w:val="TableParagraph"/>
              <w:spacing w:before="1"/>
            </w:pPr>
            <w:r>
              <w:rPr>
                <w:color w:val="212121"/>
              </w:rPr>
              <w:t>Idea</w:t>
            </w:r>
            <w:r>
              <w:rPr>
                <w:color w:val="212121"/>
                <w:spacing w:val="-3"/>
              </w:rPr>
              <w:t xml:space="preserve"> </w:t>
            </w:r>
            <w:r>
              <w:rPr>
                <w:color w:val="212121"/>
              </w:rPr>
              <w:t>/</w:t>
            </w:r>
            <w:r>
              <w:rPr>
                <w:color w:val="212121"/>
                <w:spacing w:val="-2"/>
              </w:rPr>
              <w:t xml:space="preserve"> </w:t>
            </w:r>
            <w:r>
              <w:rPr>
                <w:color w:val="212121"/>
              </w:rPr>
              <w:t>Solution</w:t>
            </w:r>
            <w:r>
              <w:rPr>
                <w:color w:val="212121"/>
                <w:spacing w:val="-4"/>
              </w:rPr>
              <w:t xml:space="preserve"> </w:t>
            </w:r>
            <w:r>
              <w:rPr>
                <w:color w:val="212121"/>
              </w:rPr>
              <w:t>description</w:t>
            </w:r>
          </w:p>
        </w:tc>
        <w:tc>
          <w:tcPr>
            <w:tcW w:w="4509" w:type="dxa"/>
          </w:tcPr>
          <w:p w14:paraId="323D65F4" w14:textId="77777777" w:rsidR="00D25A50" w:rsidRDefault="00D25A50" w:rsidP="00D25A50">
            <w:pPr>
              <w:pStyle w:val="TableParagraph"/>
              <w:spacing w:before="1"/>
              <w:ind w:right="273"/>
            </w:pPr>
            <w:r>
              <w:t>To address the problem of minimizing food waste in the restaurant industry while maintaining food quality and customer satisfaction, you can implement a comprehensive food waste management system. Here's a solution that includes several key strategies and technologies:</w:t>
            </w:r>
          </w:p>
          <w:p w14:paraId="787D04C6" w14:textId="77777777" w:rsidR="00D25A50" w:rsidRDefault="00D25A50" w:rsidP="00D25A50">
            <w:pPr>
              <w:pStyle w:val="TableParagraph"/>
              <w:spacing w:before="1"/>
              <w:ind w:right="273"/>
            </w:pPr>
            <w:r>
              <w:t>Data Analytics and Forecasting:</w:t>
            </w:r>
          </w:p>
          <w:p w14:paraId="6F2D220A" w14:textId="77777777" w:rsidR="00D25A50" w:rsidRDefault="00D25A50" w:rsidP="00D25A50">
            <w:pPr>
              <w:pStyle w:val="TableParagraph"/>
              <w:spacing w:before="1"/>
              <w:ind w:right="273"/>
            </w:pPr>
            <w:r>
              <w:t>Implement data analytics tools to track historical sales data, seasonal variations, and customer preferences.</w:t>
            </w:r>
          </w:p>
          <w:p w14:paraId="317FD6D7" w14:textId="77777777" w:rsidR="00D25A50" w:rsidRDefault="00D25A50" w:rsidP="00D25A50">
            <w:pPr>
              <w:pStyle w:val="TableParagraph"/>
              <w:spacing w:before="1"/>
              <w:ind w:right="273"/>
            </w:pPr>
            <w:r>
              <w:t>Use this data to forecast demand accurately, allowing the kitchen to prepare the right amount of food each day.</w:t>
            </w:r>
          </w:p>
          <w:p w14:paraId="1061BDAA" w14:textId="77777777" w:rsidR="00D25A50" w:rsidRDefault="00D25A50" w:rsidP="00D25A50">
            <w:pPr>
              <w:pStyle w:val="TableParagraph"/>
              <w:spacing w:before="1"/>
              <w:ind w:right="273"/>
            </w:pPr>
            <w:r>
              <w:t>Inventory Management:</w:t>
            </w:r>
          </w:p>
          <w:p w14:paraId="10B5E825" w14:textId="77777777" w:rsidR="00D25A50" w:rsidRDefault="00D25A50" w:rsidP="00D25A50">
            <w:pPr>
              <w:pStyle w:val="TableParagraph"/>
              <w:spacing w:before="1"/>
              <w:ind w:right="273"/>
            </w:pPr>
            <w:r>
              <w:t>Use inventory management software to monitor the stock of ingredients and perishable items in real-time.</w:t>
            </w:r>
          </w:p>
          <w:p w14:paraId="2D978E90" w14:textId="77777777" w:rsidR="00D25A50" w:rsidRDefault="00D25A50" w:rsidP="00D25A50">
            <w:pPr>
              <w:pStyle w:val="TableParagraph"/>
              <w:spacing w:before="1"/>
              <w:ind w:right="273"/>
            </w:pPr>
            <w:r>
              <w:t>Set up alerts to notify staff when inventory levels are low or when items are close to their expiration dates.</w:t>
            </w:r>
          </w:p>
          <w:p w14:paraId="2A44E9DA" w14:textId="77777777" w:rsidR="00D25A50" w:rsidRDefault="00D25A50" w:rsidP="00D25A50">
            <w:pPr>
              <w:pStyle w:val="TableParagraph"/>
              <w:spacing w:before="1"/>
              <w:ind w:right="273"/>
            </w:pPr>
            <w:r>
              <w:t>Menu Optimization:</w:t>
            </w:r>
          </w:p>
          <w:p w14:paraId="30CC2B3C" w14:textId="77777777" w:rsidR="00D25A50" w:rsidRDefault="00D25A50" w:rsidP="00D25A50">
            <w:pPr>
              <w:pStyle w:val="TableParagraph"/>
              <w:spacing w:before="1"/>
              <w:ind w:right="273"/>
            </w:pPr>
            <w:r>
              <w:t>Regularly review and update the menu to reflect seasonal ingredients and customer preferences.</w:t>
            </w:r>
          </w:p>
          <w:p w14:paraId="23A36AE0" w14:textId="77777777" w:rsidR="00D25A50" w:rsidRDefault="00D25A50" w:rsidP="00D25A50">
            <w:pPr>
              <w:pStyle w:val="TableParagraph"/>
              <w:spacing w:before="1"/>
              <w:ind w:right="273"/>
            </w:pPr>
            <w:r>
              <w:t>Consider offering daily or weekly specials that use surplus ingredients to reduce waste.</w:t>
            </w:r>
          </w:p>
          <w:p w14:paraId="4F47D131" w14:textId="77777777" w:rsidR="00D25A50" w:rsidRDefault="00D25A50" w:rsidP="00D25A50">
            <w:pPr>
              <w:pStyle w:val="TableParagraph"/>
              <w:spacing w:before="1"/>
              <w:ind w:right="273"/>
            </w:pPr>
            <w:r>
              <w:t>Portion Control and Standardization:</w:t>
            </w:r>
          </w:p>
          <w:p w14:paraId="11311906" w14:textId="77777777" w:rsidR="00D25A50" w:rsidRDefault="00D25A50" w:rsidP="00D25A50">
            <w:pPr>
              <w:pStyle w:val="TableParagraph"/>
              <w:spacing w:before="1"/>
              <w:ind w:right="273"/>
            </w:pPr>
            <w:r>
              <w:lastRenderedPageBreak/>
              <w:t>Train kitchen staff to consistently prepare portions according to established standards.</w:t>
            </w:r>
          </w:p>
          <w:p w14:paraId="2399B4F4" w14:textId="77777777" w:rsidR="00D25A50" w:rsidRDefault="00D25A50" w:rsidP="00D25A50">
            <w:pPr>
              <w:pStyle w:val="TableParagraph"/>
              <w:spacing w:before="1"/>
              <w:ind w:right="273"/>
            </w:pPr>
            <w:r>
              <w:t>Monitor portion sizes to reduce over-serving and food waste.</w:t>
            </w:r>
          </w:p>
          <w:p w14:paraId="5ABFA9D7" w14:textId="77777777" w:rsidR="00D25A50" w:rsidRDefault="00D25A50" w:rsidP="00D25A50">
            <w:pPr>
              <w:pStyle w:val="TableParagraph"/>
              <w:spacing w:before="1"/>
              <w:ind w:right="273"/>
            </w:pPr>
            <w:r>
              <w:t>Food Donation and Repurposing:</w:t>
            </w:r>
          </w:p>
          <w:p w14:paraId="05E3759A" w14:textId="77777777" w:rsidR="00D25A50" w:rsidRDefault="00D25A50" w:rsidP="00D25A50">
            <w:pPr>
              <w:pStyle w:val="TableParagraph"/>
              <w:spacing w:before="1"/>
              <w:ind w:right="273"/>
            </w:pPr>
            <w:r>
              <w:t>Establish partnerships with local charities or food banks to donate surplus, edible food.</w:t>
            </w:r>
          </w:p>
          <w:p w14:paraId="022335EB" w14:textId="77777777" w:rsidR="00D25A50" w:rsidRDefault="00D25A50" w:rsidP="00D25A50">
            <w:pPr>
              <w:pStyle w:val="TableParagraph"/>
              <w:spacing w:before="1"/>
              <w:ind w:right="273"/>
            </w:pPr>
            <w:r>
              <w:t>Repurpose excess ingredients into new menu items or daily specials.</w:t>
            </w:r>
          </w:p>
          <w:p w14:paraId="1BD828DA" w14:textId="77777777" w:rsidR="00D25A50" w:rsidRDefault="00D25A50" w:rsidP="00D25A50">
            <w:pPr>
              <w:pStyle w:val="TableParagraph"/>
              <w:spacing w:before="1"/>
              <w:ind w:right="273"/>
            </w:pPr>
            <w:r>
              <w:t>Real-Time Monitoring:</w:t>
            </w:r>
          </w:p>
          <w:p w14:paraId="4EA3FAAE" w14:textId="77777777" w:rsidR="00D25A50" w:rsidRDefault="00D25A50" w:rsidP="00D25A50">
            <w:pPr>
              <w:pStyle w:val="TableParagraph"/>
              <w:spacing w:before="1"/>
              <w:ind w:right="273"/>
            </w:pPr>
            <w:r>
              <w:t>Use smart kitchen technology to monitor food preparation and cooking processes in real-time.</w:t>
            </w:r>
          </w:p>
          <w:p w14:paraId="03D4BAA2" w14:textId="77777777" w:rsidR="00D25A50" w:rsidRDefault="00D25A50" w:rsidP="00D25A50">
            <w:pPr>
              <w:pStyle w:val="TableParagraph"/>
              <w:spacing w:before="1"/>
              <w:ind w:right="273"/>
            </w:pPr>
            <w:r>
              <w:t>Adjust cooking times and quantities as needed to reduce overproduction.</w:t>
            </w:r>
          </w:p>
          <w:p w14:paraId="13088F07" w14:textId="77777777" w:rsidR="00D25A50" w:rsidRDefault="00D25A50" w:rsidP="00D25A50">
            <w:pPr>
              <w:pStyle w:val="TableParagraph"/>
              <w:spacing w:before="1"/>
              <w:ind w:right="273"/>
            </w:pPr>
            <w:r>
              <w:t>Customer Feedback:</w:t>
            </w:r>
          </w:p>
          <w:p w14:paraId="4A63BF88" w14:textId="77777777" w:rsidR="00D25A50" w:rsidRDefault="00D25A50" w:rsidP="00D25A50">
            <w:pPr>
              <w:pStyle w:val="TableParagraph"/>
              <w:spacing w:before="1"/>
              <w:ind w:right="273"/>
            </w:pPr>
            <w:r>
              <w:t>Encourage customer feedback on portion sizes and menu items.</w:t>
            </w:r>
          </w:p>
          <w:p w14:paraId="6FB7A2E3" w14:textId="77777777" w:rsidR="00D25A50" w:rsidRDefault="00D25A50" w:rsidP="00D25A50">
            <w:pPr>
              <w:pStyle w:val="TableParagraph"/>
              <w:spacing w:before="1"/>
              <w:ind w:right="273"/>
            </w:pPr>
            <w:r>
              <w:t>Use this feedback to fine-tune menu offerings and portion sizes.</w:t>
            </w:r>
          </w:p>
          <w:p w14:paraId="72F0E08A" w14:textId="77777777" w:rsidR="00D25A50" w:rsidRDefault="00D25A50" w:rsidP="00D25A50">
            <w:pPr>
              <w:pStyle w:val="TableParagraph"/>
              <w:spacing w:before="1"/>
              <w:ind w:right="273"/>
            </w:pPr>
            <w:r>
              <w:t>Employee Training:</w:t>
            </w:r>
          </w:p>
          <w:p w14:paraId="1DE2F490" w14:textId="77777777" w:rsidR="00D25A50" w:rsidRDefault="00D25A50" w:rsidP="00D25A50">
            <w:pPr>
              <w:pStyle w:val="TableParagraph"/>
              <w:spacing w:before="1"/>
              <w:ind w:right="273"/>
            </w:pPr>
            <w:r>
              <w:t>Train kitchen staff on best practices for food preservation, storage, and waste reduction.</w:t>
            </w:r>
          </w:p>
          <w:p w14:paraId="26CCF77B" w14:textId="77777777" w:rsidR="00D25A50" w:rsidRDefault="00D25A50" w:rsidP="00D25A50">
            <w:pPr>
              <w:pStyle w:val="TableParagraph"/>
              <w:spacing w:before="1"/>
              <w:ind w:right="273"/>
            </w:pPr>
            <w:r>
              <w:t>Educate staff about the importance of minimizing food waste.</w:t>
            </w:r>
          </w:p>
          <w:p w14:paraId="203EE1E2" w14:textId="77777777" w:rsidR="00D25A50" w:rsidRDefault="00D25A50" w:rsidP="00D25A50">
            <w:pPr>
              <w:pStyle w:val="TableParagraph"/>
              <w:spacing w:before="1"/>
              <w:ind w:right="273"/>
            </w:pPr>
            <w:r>
              <w:t>Waste Tracking and Reporting:</w:t>
            </w:r>
          </w:p>
          <w:p w14:paraId="276C576C" w14:textId="77777777" w:rsidR="00D25A50" w:rsidRDefault="00D25A50" w:rsidP="00D25A50">
            <w:pPr>
              <w:pStyle w:val="TableParagraph"/>
              <w:spacing w:before="1"/>
              <w:ind w:right="273"/>
            </w:pPr>
            <w:r>
              <w:t>Implement a system to track and report food waste regularly.</w:t>
            </w:r>
          </w:p>
          <w:p w14:paraId="0262862E" w14:textId="77777777" w:rsidR="00D25A50" w:rsidRDefault="00D25A50" w:rsidP="00D25A50">
            <w:pPr>
              <w:pStyle w:val="TableParagraph"/>
              <w:spacing w:before="1"/>
              <w:ind w:right="273"/>
            </w:pPr>
            <w:r>
              <w:t>Analyze waste data to identify trends and areas for improvement.</w:t>
            </w:r>
          </w:p>
          <w:p w14:paraId="18C2522E" w14:textId="77777777" w:rsidR="00D25A50" w:rsidRDefault="00D25A50" w:rsidP="00D25A50">
            <w:pPr>
              <w:pStyle w:val="TableParagraph"/>
              <w:spacing w:before="1"/>
              <w:ind w:right="273"/>
            </w:pPr>
            <w:r>
              <w:t>Sustainable Sourcing:</w:t>
            </w:r>
          </w:p>
          <w:p w14:paraId="71D75C6B" w14:textId="77777777" w:rsidR="00D25A50" w:rsidRDefault="00D25A50" w:rsidP="00D25A50">
            <w:pPr>
              <w:pStyle w:val="TableParagraph"/>
              <w:spacing w:before="1"/>
              <w:ind w:right="273"/>
            </w:pPr>
            <w:r>
              <w:t>Source ingredients from suppliers committed to sustainability and waste reduction.</w:t>
            </w:r>
          </w:p>
          <w:p w14:paraId="6E015E11" w14:textId="77777777" w:rsidR="00D25A50" w:rsidRDefault="00D25A50" w:rsidP="00D25A50">
            <w:pPr>
              <w:pStyle w:val="TableParagraph"/>
              <w:spacing w:before="1"/>
              <w:ind w:right="273"/>
            </w:pPr>
            <w:r>
              <w:t>Support local and organic suppliers to reduce the environmental impact of food production.</w:t>
            </w:r>
          </w:p>
          <w:p w14:paraId="4582B347" w14:textId="77777777" w:rsidR="00D25A50" w:rsidRDefault="00D25A50" w:rsidP="00D25A50">
            <w:pPr>
              <w:pStyle w:val="TableParagraph"/>
              <w:spacing w:before="1"/>
              <w:ind w:right="273"/>
            </w:pPr>
            <w:r>
              <w:t>Technological Solutions:</w:t>
            </w:r>
          </w:p>
          <w:p w14:paraId="4224836F" w14:textId="77777777" w:rsidR="00D25A50" w:rsidRDefault="00D25A50" w:rsidP="00D25A50">
            <w:pPr>
              <w:pStyle w:val="TableParagraph"/>
              <w:spacing w:before="1"/>
              <w:ind w:right="273"/>
            </w:pPr>
            <w:r>
              <w:t>Consider using food waste reduction technologies like composters or food dehydrators to reduce organic waste.</w:t>
            </w:r>
          </w:p>
          <w:p w14:paraId="5D435F85" w14:textId="77777777" w:rsidR="00D25A50" w:rsidRDefault="00D25A50" w:rsidP="00D25A50">
            <w:pPr>
              <w:pStyle w:val="TableParagraph"/>
              <w:spacing w:before="1"/>
              <w:ind w:right="273"/>
            </w:pPr>
            <w:r>
              <w:t>Staff Incentives:</w:t>
            </w:r>
          </w:p>
          <w:p w14:paraId="7CB44F0C" w14:textId="77777777" w:rsidR="00D25A50" w:rsidRDefault="00D25A50" w:rsidP="00D25A50">
            <w:pPr>
              <w:pStyle w:val="TableParagraph"/>
              <w:spacing w:before="1"/>
              <w:ind w:right="273"/>
            </w:pPr>
            <w:r>
              <w:t>Create incentives for staff to reduce waste, such as recognizing and rewarding employees who contribute to waste reduction efforts.</w:t>
            </w:r>
          </w:p>
          <w:p w14:paraId="2C49887B" w14:textId="77777777" w:rsidR="00D25A50" w:rsidRDefault="00D25A50" w:rsidP="00D25A50">
            <w:pPr>
              <w:pStyle w:val="TableParagraph"/>
              <w:spacing w:before="1"/>
              <w:ind w:right="273"/>
            </w:pPr>
            <w:r>
              <w:t>Customer Awareness:</w:t>
            </w:r>
          </w:p>
          <w:p w14:paraId="1C0599BF" w14:textId="77777777" w:rsidR="00D25A50" w:rsidRDefault="00D25A50" w:rsidP="00D25A50">
            <w:pPr>
              <w:pStyle w:val="TableParagraph"/>
              <w:spacing w:before="1"/>
              <w:ind w:right="273"/>
            </w:pPr>
            <w:r>
              <w:t>Educate customers about the restaurant's commitment to reducing food waste and solicit their support in this endeavor.</w:t>
            </w:r>
          </w:p>
          <w:p w14:paraId="1DE7FDAB" w14:textId="77777777" w:rsidR="00D25A50" w:rsidRDefault="00D25A50" w:rsidP="00D25A50">
            <w:pPr>
              <w:pStyle w:val="TableParagraph"/>
              <w:spacing w:before="1"/>
              <w:ind w:right="273"/>
            </w:pPr>
            <w:r>
              <w:t>Regular Audits and Adjustments:</w:t>
            </w:r>
          </w:p>
          <w:p w14:paraId="67FB5552" w14:textId="77777777" w:rsidR="00D25A50" w:rsidRDefault="00D25A50" w:rsidP="00D25A50">
            <w:pPr>
              <w:pStyle w:val="TableParagraph"/>
              <w:spacing w:before="1"/>
              <w:ind w:right="273"/>
            </w:pPr>
            <w:r>
              <w:t>Conduct periodic audits of the food waste management system's effectiveness.</w:t>
            </w:r>
          </w:p>
          <w:p w14:paraId="30052094" w14:textId="77777777" w:rsidR="00D25A50" w:rsidRDefault="00D25A50" w:rsidP="00D25A50">
            <w:pPr>
              <w:pStyle w:val="TableParagraph"/>
              <w:spacing w:before="1"/>
              <w:ind w:right="273"/>
            </w:pPr>
            <w:r>
              <w:t>Make adjustments based on the audit results to continuously improve waste reduction efforts.</w:t>
            </w:r>
          </w:p>
          <w:p w14:paraId="5CD80781" w14:textId="011F8BA8" w:rsidR="00734E14" w:rsidRDefault="00734E14" w:rsidP="00D25A50">
            <w:pPr>
              <w:pStyle w:val="TableParagraph"/>
              <w:spacing w:before="1"/>
              <w:ind w:right="273"/>
            </w:pPr>
          </w:p>
        </w:tc>
      </w:tr>
    </w:tbl>
    <w:p w14:paraId="5C185629" w14:textId="77777777" w:rsidR="00734E14" w:rsidRDefault="00734E14">
      <w:pPr>
        <w:spacing w:line="245" w:lineRule="exact"/>
        <w:sectPr w:rsidR="00734E14">
          <w:type w:val="continuous"/>
          <w:pgSz w:w="11910" w:h="16840"/>
          <w:pgMar w:top="800" w:right="12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4509"/>
      </w:tblGrid>
      <w:tr w:rsidR="00734E14" w14:paraId="39929CDE" w14:textId="77777777">
        <w:trPr>
          <w:trHeight w:val="2150"/>
        </w:trPr>
        <w:tc>
          <w:tcPr>
            <w:tcW w:w="903" w:type="dxa"/>
          </w:tcPr>
          <w:p w14:paraId="2CAE43C7" w14:textId="77777777" w:rsidR="00734E14" w:rsidRDefault="00C42161">
            <w:pPr>
              <w:pStyle w:val="TableParagraph"/>
              <w:spacing w:line="262" w:lineRule="exact"/>
              <w:ind w:left="0" w:right="332"/>
              <w:jc w:val="right"/>
            </w:pPr>
            <w:r>
              <w:lastRenderedPageBreak/>
              <w:t>3.</w:t>
            </w:r>
          </w:p>
        </w:tc>
        <w:tc>
          <w:tcPr>
            <w:tcW w:w="3659" w:type="dxa"/>
          </w:tcPr>
          <w:p w14:paraId="346AFDD0" w14:textId="77777777" w:rsidR="00734E14" w:rsidRDefault="00C42161">
            <w:pPr>
              <w:pStyle w:val="TableParagraph"/>
              <w:spacing w:line="262" w:lineRule="exact"/>
            </w:pPr>
            <w:r>
              <w:rPr>
                <w:color w:val="212121"/>
              </w:rPr>
              <w:t>Novelty</w:t>
            </w:r>
            <w:r>
              <w:rPr>
                <w:color w:val="212121"/>
                <w:spacing w:val="-2"/>
              </w:rPr>
              <w:t xml:space="preserve"> </w:t>
            </w:r>
            <w:r>
              <w:rPr>
                <w:color w:val="212121"/>
              </w:rPr>
              <w:t>/</w:t>
            </w:r>
            <w:r>
              <w:rPr>
                <w:color w:val="212121"/>
                <w:spacing w:val="-1"/>
              </w:rPr>
              <w:t xml:space="preserve"> </w:t>
            </w:r>
            <w:r>
              <w:rPr>
                <w:color w:val="212121"/>
              </w:rPr>
              <w:t>Uniqueness</w:t>
            </w:r>
          </w:p>
        </w:tc>
        <w:tc>
          <w:tcPr>
            <w:tcW w:w="4509" w:type="dxa"/>
          </w:tcPr>
          <w:p w14:paraId="6A00BE54" w14:textId="22868D18" w:rsidR="00734E14" w:rsidRDefault="00D25A50">
            <w:pPr>
              <w:pStyle w:val="TableParagraph"/>
              <w:spacing w:line="255" w:lineRule="exact"/>
            </w:pPr>
            <w:r w:rsidRPr="00D25A50">
              <w:t>Novelty encompasses the quality of being new, original, or unique across a spectrum of contexts. In technology and innovation, it signifies groundbreaking ideas and products. In art and creativity, it pertains to the creation of imaginative content that defies traditional norms. It may denote one-of-a-kind or distinctive items in the realm of fashion and collectibles. In the context of experiences, like travel and entertainment, novelty adds an element of surprise and excitement. When considering intellectual property, it relates to the originality and distinctiveness of inventions or brands. In psychology, novelty is tied to individuals' responses to new stimuli, often sparking curiosity. Overall, novelty reflects the essence of being fresh, innovative, and unlike anything that has come before, evident in a variety of human endeavors.</w:t>
            </w:r>
          </w:p>
        </w:tc>
      </w:tr>
      <w:tr w:rsidR="00734E14" w14:paraId="3B732A59" w14:textId="77777777">
        <w:trPr>
          <w:trHeight w:val="2952"/>
        </w:trPr>
        <w:tc>
          <w:tcPr>
            <w:tcW w:w="903" w:type="dxa"/>
          </w:tcPr>
          <w:p w14:paraId="4898D042" w14:textId="77777777" w:rsidR="00734E14" w:rsidRDefault="00C42161">
            <w:pPr>
              <w:pStyle w:val="TableParagraph"/>
              <w:spacing w:line="262" w:lineRule="exact"/>
              <w:ind w:left="0" w:right="332"/>
              <w:jc w:val="right"/>
            </w:pPr>
            <w:r>
              <w:t>4.</w:t>
            </w:r>
          </w:p>
        </w:tc>
        <w:tc>
          <w:tcPr>
            <w:tcW w:w="3659" w:type="dxa"/>
          </w:tcPr>
          <w:p w14:paraId="297A4520" w14:textId="77777777" w:rsidR="00734E14" w:rsidRDefault="00C42161">
            <w:pPr>
              <w:pStyle w:val="TableParagraph"/>
              <w:spacing w:line="262" w:lineRule="exact"/>
            </w:pPr>
            <w:r>
              <w:rPr>
                <w:color w:val="212121"/>
              </w:rPr>
              <w:t>Social</w:t>
            </w:r>
            <w:r>
              <w:rPr>
                <w:color w:val="212121"/>
                <w:spacing w:val="-4"/>
              </w:rPr>
              <w:t xml:space="preserve"> </w:t>
            </w:r>
            <w:r>
              <w:rPr>
                <w:color w:val="212121"/>
              </w:rPr>
              <w:t>Impact</w:t>
            </w:r>
            <w:r>
              <w:rPr>
                <w:color w:val="212121"/>
                <w:spacing w:val="-7"/>
              </w:rPr>
              <w:t xml:space="preserve"> </w:t>
            </w:r>
            <w:r>
              <w:rPr>
                <w:color w:val="212121"/>
              </w:rPr>
              <w:t>/</w:t>
            </w:r>
            <w:r>
              <w:rPr>
                <w:color w:val="212121"/>
                <w:spacing w:val="-3"/>
              </w:rPr>
              <w:t xml:space="preserve"> </w:t>
            </w:r>
            <w:r>
              <w:rPr>
                <w:color w:val="212121"/>
              </w:rPr>
              <w:t>Customer</w:t>
            </w:r>
            <w:r>
              <w:rPr>
                <w:color w:val="212121"/>
                <w:spacing w:val="-5"/>
              </w:rPr>
              <w:t xml:space="preserve"> </w:t>
            </w:r>
            <w:r>
              <w:rPr>
                <w:color w:val="212121"/>
              </w:rPr>
              <w:t>Satisfaction</w:t>
            </w:r>
          </w:p>
        </w:tc>
        <w:tc>
          <w:tcPr>
            <w:tcW w:w="4509" w:type="dxa"/>
          </w:tcPr>
          <w:p w14:paraId="6C3B5685" w14:textId="57367239" w:rsidR="00734E14" w:rsidRDefault="00D25A50" w:rsidP="00D25A50">
            <w:pPr>
              <w:pStyle w:val="TableParagraph"/>
              <w:numPr>
                <w:ilvl w:val="0"/>
                <w:numId w:val="1"/>
              </w:numPr>
              <w:spacing w:line="252" w:lineRule="exact"/>
            </w:pPr>
            <w:r w:rsidRPr="00D25A50">
              <w:t>Balancing the dual priorities of social impact and customer satisfaction presents a complex challenge for businesses. Striving for positive social impact by adopting sustainable and socially responsible practices may sometimes entail higher costs, potentially affecting customer satisfaction if prices rise. However, a socially conscious approach can also attract a growing segment of consumers who prioritize ethical products and services, positively influencing customer satisfaction. Moreover, companies that genuinely engage in community initiatives and environmental stewardship can bolster their brand reputation, which often leads to increased customer loyalty and satisfaction. Therefore, finding the right equilibrium between social impact and customer satisfaction is a strategic imperative for businesses seeking long-term success in a socially aware and customer-centric marketplace.</w:t>
            </w:r>
          </w:p>
        </w:tc>
      </w:tr>
      <w:tr w:rsidR="00734E14" w14:paraId="5CBFF295" w14:textId="77777777">
        <w:trPr>
          <w:trHeight w:val="3225"/>
        </w:trPr>
        <w:tc>
          <w:tcPr>
            <w:tcW w:w="903" w:type="dxa"/>
          </w:tcPr>
          <w:p w14:paraId="4C2C5FE3" w14:textId="77777777" w:rsidR="00734E14" w:rsidRDefault="00C42161">
            <w:pPr>
              <w:pStyle w:val="TableParagraph"/>
              <w:spacing w:line="266" w:lineRule="exact"/>
              <w:ind w:left="0" w:right="332"/>
              <w:jc w:val="right"/>
            </w:pPr>
            <w:r>
              <w:t>5.</w:t>
            </w:r>
          </w:p>
        </w:tc>
        <w:tc>
          <w:tcPr>
            <w:tcW w:w="3659" w:type="dxa"/>
          </w:tcPr>
          <w:p w14:paraId="5D677336" w14:textId="77777777" w:rsidR="00734E14" w:rsidRDefault="00C42161">
            <w:pPr>
              <w:pStyle w:val="TableParagraph"/>
              <w:spacing w:line="266" w:lineRule="exact"/>
            </w:pPr>
            <w:r>
              <w:rPr>
                <w:color w:val="212121"/>
              </w:rPr>
              <w:t>Business</w:t>
            </w:r>
            <w:r>
              <w:rPr>
                <w:color w:val="212121"/>
                <w:spacing w:val="-2"/>
              </w:rPr>
              <w:t xml:space="preserve"> </w:t>
            </w:r>
            <w:r>
              <w:rPr>
                <w:color w:val="212121"/>
              </w:rPr>
              <w:t>Model (Revenue</w:t>
            </w:r>
            <w:r>
              <w:rPr>
                <w:color w:val="212121"/>
                <w:spacing w:val="-3"/>
              </w:rPr>
              <w:t xml:space="preserve"> </w:t>
            </w:r>
            <w:r>
              <w:rPr>
                <w:color w:val="212121"/>
              </w:rPr>
              <w:t>Model)</w:t>
            </w:r>
          </w:p>
        </w:tc>
        <w:tc>
          <w:tcPr>
            <w:tcW w:w="4509" w:type="dxa"/>
          </w:tcPr>
          <w:p w14:paraId="11C564FD" w14:textId="27647A56" w:rsidR="00734E14" w:rsidRDefault="00EA155D">
            <w:pPr>
              <w:pStyle w:val="TableParagraph"/>
              <w:spacing w:line="254" w:lineRule="exact"/>
            </w:pPr>
            <w:r w:rsidRPr="00EA155D">
              <w:t>The restaurant's business model is centered on providing a culinary excellence-driven value proposition, offering a unique dining experience for a diverse customer base, including local residents, tourists, families, couples, and business professionals. This model leverages physical and online channels, personalized customer relationships, and diverse revenue streams, such as food sales, event hosting, and merchandise sales. Key resources encompass skilled chefs, quality ingredients, a well-appointed restaurant space, and kitchen equipment, while activities involve menu development, food preparation, and marketing efforts. Strategic partnerships with suppliers, delivery services, and local businesses enhance the model. The cost structure includes labor, ingredients, rent, marketing, and operational costs to ensure profitability and customer satisfaction.</w:t>
            </w:r>
          </w:p>
        </w:tc>
      </w:tr>
      <w:tr w:rsidR="00734E14" w14:paraId="6EA7565E" w14:textId="77777777">
        <w:trPr>
          <w:trHeight w:val="5641"/>
        </w:trPr>
        <w:tc>
          <w:tcPr>
            <w:tcW w:w="903" w:type="dxa"/>
          </w:tcPr>
          <w:p w14:paraId="4ACA3291" w14:textId="77777777" w:rsidR="00734E14" w:rsidRDefault="00C42161">
            <w:pPr>
              <w:pStyle w:val="TableParagraph"/>
              <w:spacing w:line="262" w:lineRule="exact"/>
              <w:ind w:left="0" w:right="332"/>
              <w:jc w:val="right"/>
            </w:pPr>
            <w:r>
              <w:lastRenderedPageBreak/>
              <w:t>6.</w:t>
            </w:r>
          </w:p>
        </w:tc>
        <w:tc>
          <w:tcPr>
            <w:tcW w:w="3659" w:type="dxa"/>
          </w:tcPr>
          <w:p w14:paraId="4A02C8DB" w14:textId="77777777" w:rsidR="00734E14" w:rsidRDefault="00C42161">
            <w:pPr>
              <w:pStyle w:val="TableParagraph"/>
              <w:spacing w:line="262" w:lineRule="exact"/>
            </w:pPr>
            <w:r>
              <w:rPr>
                <w:color w:val="212121"/>
              </w:rPr>
              <w:t>Scalability</w:t>
            </w:r>
            <w:r>
              <w:rPr>
                <w:color w:val="212121"/>
                <w:spacing w:val="-5"/>
              </w:rPr>
              <w:t xml:space="preserve"> </w:t>
            </w:r>
            <w:r>
              <w:rPr>
                <w:color w:val="212121"/>
              </w:rPr>
              <w:t>of</w:t>
            </w:r>
            <w:r>
              <w:rPr>
                <w:color w:val="212121"/>
                <w:spacing w:val="-4"/>
              </w:rPr>
              <w:t xml:space="preserve"> </w:t>
            </w:r>
            <w:r>
              <w:rPr>
                <w:color w:val="212121"/>
              </w:rPr>
              <w:t>the</w:t>
            </w:r>
            <w:r>
              <w:rPr>
                <w:color w:val="212121"/>
                <w:spacing w:val="-4"/>
              </w:rPr>
              <w:t xml:space="preserve"> </w:t>
            </w:r>
            <w:r>
              <w:rPr>
                <w:color w:val="212121"/>
              </w:rPr>
              <w:t>Solution</w:t>
            </w:r>
          </w:p>
        </w:tc>
        <w:tc>
          <w:tcPr>
            <w:tcW w:w="4509" w:type="dxa"/>
          </w:tcPr>
          <w:p w14:paraId="600739FD" w14:textId="77777777" w:rsidR="00EA155D" w:rsidRDefault="00EA155D" w:rsidP="00EA155D">
            <w:pPr>
              <w:pStyle w:val="TableParagraph"/>
              <w:numPr>
                <w:ilvl w:val="0"/>
                <w:numId w:val="3"/>
              </w:numPr>
              <w:ind w:right="176"/>
            </w:pPr>
            <w:r>
              <w:t>The scalability of the solution is a crucial consideration for the restaurant business model. To enhance scalability, the restaurant should implement the following strategies:</w:t>
            </w:r>
          </w:p>
          <w:p w14:paraId="104880C5" w14:textId="77777777" w:rsidR="00EA155D" w:rsidRDefault="00EA155D" w:rsidP="00EA155D">
            <w:pPr>
              <w:pStyle w:val="TableParagraph"/>
              <w:ind w:right="176"/>
            </w:pPr>
          </w:p>
          <w:p w14:paraId="4880C195" w14:textId="77777777" w:rsidR="00EA155D" w:rsidRDefault="00EA155D" w:rsidP="00EA155D">
            <w:pPr>
              <w:pStyle w:val="TableParagraph"/>
              <w:numPr>
                <w:ilvl w:val="0"/>
                <w:numId w:val="3"/>
              </w:numPr>
              <w:ind w:right="176"/>
            </w:pPr>
            <w:r>
              <w:t>Standardized Processes: Develop standardized operating procedures and recipes to ensure consistency in food quality and service as the restaurant expands. This streamlines training for new staff and maintains customer satisfaction.</w:t>
            </w:r>
          </w:p>
          <w:p w14:paraId="0E8F5DEE" w14:textId="77777777" w:rsidR="00EA155D" w:rsidRDefault="00EA155D" w:rsidP="00EA155D">
            <w:pPr>
              <w:pStyle w:val="TableParagraph"/>
              <w:ind w:right="176"/>
            </w:pPr>
          </w:p>
          <w:p w14:paraId="2D131D0C" w14:textId="77777777" w:rsidR="00EA155D" w:rsidRDefault="00EA155D" w:rsidP="00EA155D">
            <w:pPr>
              <w:pStyle w:val="TableParagraph"/>
              <w:numPr>
                <w:ilvl w:val="0"/>
                <w:numId w:val="3"/>
              </w:numPr>
              <w:ind w:right="176"/>
            </w:pPr>
            <w:r>
              <w:t>Efficient Kitchen Layout: Design an efficient kitchen layout to accommodate increased orders without overwhelming the cooking and preparation staff. Implement technology to automate certain tasks and streamline kitchen operations.</w:t>
            </w:r>
          </w:p>
          <w:p w14:paraId="514E27EE" w14:textId="77777777" w:rsidR="00EA155D" w:rsidRDefault="00EA155D" w:rsidP="00EA155D">
            <w:pPr>
              <w:pStyle w:val="TableParagraph"/>
              <w:ind w:right="176"/>
            </w:pPr>
          </w:p>
          <w:p w14:paraId="3E5EB5BF" w14:textId="77777777" w:rsidR="00EA155D" w:rsidRDefault="00EA155D" w:rsidP="00EA155D">
            <w:pPr>
              <w:pStyle w:val="TableParagraph"/>
              <w:numPr>
                <w:ilvl w:val="0"/>
                <w:numId w:val="3"/>
              </w:numPr>
              <w:ind w:right="176"/>
            </w:pPr>
            <w:r>
              <w:t>Technology Integration: Embrace restaurant management software, point-of-sale (POS) systems, and customer relationship management (CRM) tools to efficiently handle reservations, orders, and customer data. This allows for better management as the customer base grows.</w:t>
            </w:r>
          </w:p>
          <w:p w14:paraId="526F2386" w14:textId="77777777" w:rsidR="00EA155D" w:rsidRDefault="00EA155D" w:rsidP="00EA155D">
            <w:pPr>
              <w:pStyle w:val="TableParagraph"/>
              <w:ind w:right="176"/>
            </w:pPr>
          </w:p>
          <w:p w14:paraId="0CB29BEE" w14:textId="77777777" w:rsidR="00EA155D" w:rsidRDefault="00EA155D" w:rsidP="00EA155D">
            <w:pPr>
              <w:pStyle w:val="TableParagraph"/>
              <w:numPr>
                <w:ilvl w:val="0"/>
                <w:numId w:val="3"/>
              </w:numPr>
              <w:ind w:right="176"/>
            </w:pPr>
            <w:r>
              <w:t>Supply Chain Optimization: Establish reliable and cost-effective supply chain processes to ensure the consistent availability of quality ingredients. Explore partnerships with local suppliers and distributors.</w:t>
            </w:r>
          </w:p>
          <w:p w14:paraId="3B14C18B" w14:textId="77777777" w:rsidR="00EA155D" w:rsidRDefault="00EA155D" w:rsidP="00EA155D">
            <w:pPr>
              <w:pStyle w:val="TableParagraph"/>
              <w:ind w:right="176"/>
            </w:pPr>
          </w:p>
          <w:p w14:paraId="2651C14C" w14:textId="77777777" w:rsidR="00EA155D" w:rsidRDefault="00EA155D" w:rsidP="00EA155D">
            <w:pPr>
              <w:pStyle w:val="TableParagraph"/>
              <w:numPr>
                <w:ilvl w:val="0"/>
                <w:numId w:val="3"/>
              </w:numPr>
              <w:ind w:right="176"/>
            </w:pPr>
            <w:r>
              <w:t>Staff Training and Development: Invest in comprehensive staff training programs and create opportunities for career development, enabling a skilled and motivated workforce to support the restaurant's growth.</w:t>
            </w:r>
          </w:p>
          <w:p w14:paraId="2971453F" w14:textId="77777777" w:rsidR="00EA155D" w:rsidRDefault="00EA155D" w:rsidP="00EA155D">
            <w:pPr>
              <w:pStyle w:val="TableParagraph"/>
              <w:ind w:right="176"/>
            </w:pPr>
          </w:p>
          <w:p w14:paraId="797A440C" w14:textId="77777777" w:rsidR="00EA155D" w:rsidRDefault="00EA155D" w:rsidP="00EA155D">
            <w:pPr>
              <w:pStyle w:val="TableParagraph"/>
              <w:numPr>
                <w:ilvl w:val="0"/>
                <w:numId w:val="3"/>
              </w:numPr>
              <w:ind w:right="176"/>
            </w:pPr>
            <w:r>
              <w:t>Additional Locations: Consider opening additional restaurant locations or franchises in different areas to expand the customer reach and brand presence.</w:t>
            </w:r>
          </w:p>
          <w:p w14:paraId="6291691B" w14:textId="77777777" w:rsidR="00EA155D" w:rsidRDefault="00EA155D" w:rsidP="00EA155D">
            <w:pPr>
              <w:pStyle w:val="TableParagraph"/>
              <w:ind w:right="176"/>
            </w:pPr>
          </w:p>
          <w:p w14:paraId="7F7A2E9C" w14:textId="77777777" w:rsidR="00EA155D" w:rsidRDefault="00EA155D" w:rsidP="00EA155D">
            <w:pPr>
              <w:pStyle w:val="TableParagraph"/>
              <w:numPr>
                <w:ilvl w:val="0"/>
                <w:numId w:val="3"/>
              </w:numPr>
              <w:ind w:right="176"/>
            </w:pPr>
            <w:r>
              <w:t>Menu Scalability: Develop a menu that can be scaled without compromising quality. This includes offering dishes that use common ingredients and efficiently managing inventory.</w:t>
            </w:r>
          </w:p>
          <w:p w14:paraId="0D5B15E7" w14:textId="77777777" w:rsidR="00EA155D" w:rsidRDefault="00EA155D" w:rsidP="00EA155D">
            <w:pPr>
              <w:pStyle w:val="TableParagraph"/>
              <w:ind w:right="176"/>
            </w:pPr>
          </w:p>
          <w:p w14:paraId="7A6402E0" w14:textId="77777777" w:rsidR="00EA155D" w:rsidRDefault="00EA155D" w:rsidP="00EA155D">
            <w:pPr>
              <w:pStyle w:val="TableParagraph"/>
              <w:numPr>
                <w:ilvl w:val="0"/>
                <w:numId w:val="3"/>
              </w:numPr>
              <w:ind w:right="176"/>
            </w:pPr>
            <w:r>
              <w:t>Marketing and Branding: Invest in scalable marketing strategies, such as digital marketing, social media, and customer loyalty programs, to reach a broader audience and retain existing customers.</w:t>
            </w:r>
          </w:p>
          <w:p w14:paraId="69CF41E9" w14:textId="77777777" w:rsidR="00EA155D" w:rsidRDefault="00EA155D" w:rsidP="00EA155D">
            <w:pPr>
              <w:pStyle w:val="TableParagraph"/>
              <w:ind w:right="176"/>
            </w:pPr>
          </w:p>
          <w:p w14:paraId="4F206F45" w14:textId="77777777" w:rsidR="00EA155D" w:rsidRDefault="00EA155D" w:rsidP="00EA155D">
            <w:pPr>
              <w:pStyle w:val="TableParagraph"/>
              <w:numPr>
                <w:ilvl w:val="0"/>
                <w:numId w:val="3"/>
              </w:numPr>
              <w:ind w:right="176"/>
            </w:pPr>
            <w:r>
              <w:t>Customer Feedback and Adaptation: Continuously gather and analyze customer feedback to make data-driven decisions and adapt the business model to evolving customer preferences.</w:t>
            </w:r>
          </w:p>
          <w:p w14:paraId="2A598BED" w14:textId="77777777" w:rsidR="00EA155D" w:rsidRDefault="00EA155D" w:rsidP="00EA155D">
            <w:pPr>
              <w:pStyle w:val="TableParagraph"/>
              <w:ind w:right="176"/>
            </w:pPr>
          </w:p>
          <w:p w14:paraId="4859BF1D" w14:textId="77777777" w:rsidR="00EA155D" w:rsidRDefault="00EA155D" w:rsidP="00EA155D">
            <w:pPr>
              <w:pStyle w:val="TableParagraph"/>
              <w:numPr>
                <w:ilvl w:val="0"/>
                <w:numId w:val="3"/>
              </w:numPr>
              <w:ind w:right="176"/>
            </w:pPr>
            <w:r>
              <w:t>Financial Planning: Implement sound financial planning and budgeting practices to ensure that the restaurant has the necessary capital to support growth and expansion.</w:t>
            </w:r>
          </w:p>
          <w:p w14:paraId="3605A855" w14:textId="77777777" w:rsidR="00EA155D" w:rsidRDefault="00EA155D" w:rsidP="00EA155D">
            <w:pPr>
              <w:pStyle w:val="TableParagraph"/>
              <w:ind w:right="176"/>
            </w:pPr>
          </w:p>
          <w:p w14:paraId="2C6D0D63" w14:textId="121794D5" w:rsidR="00734E14" w:rsidRDefault="00EA155D" w:rsidP="00EA155D">
            <w:pPr>
              <w:pStyle w:val="TableParagraph"/>
              <w:numPr>
                <w:ilvl w:val="0"/>
                <w:numId w:val="3"/>
              </w:numPr>
              <w:spacing w:line="270" w:lineRule="atLeast"/>
              <w:ind w:right="573"/>
            </w:pPr>
            <w:r>
              <w:t>By incorporating these scalability strategies, the restaurant can effectively handle increased demand, expand its operations, and maintain high customer satisfaction as it grows, ensuring the long-term success of the business</w:t>
            </w:r>
          </w:p>
        </w:tc>
      </w:tr>
    </w:tbl>
    <w:p w14:paraId="24A95853" w14:textId="77777777" w:rsidR="00734E14" w:rsidRDefault="00734E14">
      <w:pPr>
        <w:spacing w:line="270" w:lineRule="atLeast"/>
        <w:sectPr w:rsidR="00734E14">
          <w:pgSz w:w="11910" w:h="16840"/>
          <w:pgMar w:top="840" w:right="12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4509"/>
      </w:tblGrid>
      <w:tr w:rsidR="00734E14" w14:paraId="370EF8BB" w14:textId="77777777">
        <w:trPr>
          <w:trHeight w:val="820"/>
        </w:trPr>
        <w:tc>
          <w:tcPr>
            <w:tcW w:w="903" w:type="dxa"/>
          </w:tcPr>
          <w:p w14:paraId="0FAE2B84" w14:textId="77777777" w:rsidR="00734E14" w:rsidRDefault="00734E14">
            <w:pPr>
              <w:pStyle w:val="TableParagraph"/>
              <w:ind w:left="0"/>
              <w:rPr>
                <w:rFonts w:ascii="Times New Roman"/>
              </w:rPr>
            </w:pPr>
          </w:p>
        </w:tc>
        <w:tc>
          <w:tcPr>
            <w:tcW w:w="3659" w:type="dxa"/>
          </w:tcPr>
          <w:p w14:paraId="27C825BF" w14:textId="77777777" w:rsidR="00734E14" w:rsidRDefault="00734E14">
            <w:pPr>
              <w:pStyle w:val="TableParagraph"/>
              <w:ind w:left="0"/>
              <w:rPr>
                <w:rFonts w:ascii="Times New Roman"/>
              </w:rPr>
            </w:pPr>
          </w:p>
        </w:tc>
        <w:tc>
          <w:tcPr>
            <w:tcW w:w="4509" w:type="dxa"/>
          </w:tcPr>
          <w:p w14:paraId="445CCC1B" w14:textId="77777777" w:rsidR="00734E14" w:rsidRDefault="00C42161">
            <w:pPr>
              <w:pStyle w:val="TableParagraph"/>
              <w:ind w:right="422"/>
            </w:pPr>
            <w:r>
              <w:t>check</w:t>
            </w:r>
            <w:r>
              <w:rPr>
                <w:spacing w:val="-4"/>
              </w:rPr>
              <w:t xml:space="preserve"> </w:t>
            </w:r>
            <w:r>
              <w:t>the</w:t>
            </w:r>
            <w:r>
              <w:rPr>
                <w:spacing w:val="1"/>
              </w:rPr>
              <w:t xml:space="preserve"> </w:t>
            </w:r>
            <w:r>
              <w:t>crowd</w:t>
            </w:r>
            <w:r>
              <w:rPr>
                <w:spacing w:val="-4"/>
              </w:rPr>
              <w:t xml:space="preserve"> </w:t>
            </w:r>
            <w:r>
              <w:t>estimation</w:t>
            </w:r>
            <w:r>
              <w:rPr>
                <w:spacing w:val="-5"/>
              </w:rPr>
              <w:t xml:space="preserve"> </w:t>
            </w:r>
            <w:r>
              <w:t>and</w:t>
            </w:r>
            <w:r>
              <w:rPr>
                <w:spacing w:val="-5"/>
              </w:rPr>
              <w:t xml:space="preserve"> </w:t>
            </w:r>
            <w:r>
              <w:t>prepare</w:t>
            </w:r>
            <w:r>
              <w:rPr>
                <w:spacing w:val="1"/>
              </w:rPr>
              <w:t xml:space="preserve"> </w:t>
            </w:r>
            <w:r>
              <w:t>the</w:t>
            </w:r>
            <w:r>
              <w:rPr>
                <w:spacing w:val="-46"/>
              </w:rPr>
              <w:t xml:space="preserve"> </w:t>
            </w:r>
            <w:r>
              <w:t>food</w:t>
            </w:r>
            <w:r>
              <w:rPr>
                <w:spacing w:val="-4"/>
              </w:rPr>
              <w:t xml:space="preserve"> </w:t>
            </w:r>
            <w:r>
              <w:t>accordingly.</w:t>
            </w:r>
          </w:p>
        </w:tc>
      </w:tr>
    </w:tbl>
    <w:p w14:paraId="5468FE5E" w14:textId="77777777" w:rsidR="007527A6" w:rsidRDefault="007527A6"/>
    <w:sectPr w:rsidR="007527A6">
      <w:pgSz w:w="11910" w:h="16840"/>
      <w:pgMar w:top="84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35E29"/>
    <w:multiLevelType w:val="hybridMultilevel"/>
    <w:tmpl w:val="3332784E"/>
    <w:lvl w:ilvl="0" w:tplc="B094ACBC">
      <w:start w:val="1"/>
      <w:numFmt w:val="decimal"/>
      <w:lvlText w:val="%1."/>
      <w:lvlJc w:val="left"/>
      <w:pPr>
        <w:ind w:left="105" w:hanging="168"/>
      </w:pPr>
      <w:rPr>
        <w:rFonts w:ascii="Calibri" w:eastAsia="Calibri" w:hAnsi="Calibri" w:cs="Calibri" w:hint="default"/>
        <w:spacing w:val="-2"/>
        <w:w w:val="100"/>
        <w:sz w:val="20"/>
        <w:szCs w:val="20"/>
        <w:lang w:val="en-US" w:eastAsia="en-US" w:bidi="ar-SA"/>
      </w:rPr>
    </w:lvl>
    <w:lvl w:ilvl="1" w:tplc="3898A2F6">
      <w:numFmt w:val="bullet"/>
      <w:lvlText w:val="•"/>
      <w:lvlJc w:val="left"/>
      <w:pPr>
        <w:ind w:left="539" w:hanging="168"/>
      </w:pPr>
      <w:rPr>
        <w:rFonts w:hint="default"/>
        <w:lang w:val="en-US" w:eastAsia="en-US" w:bidi="ar-SA"/>
      </w:rPr>
    </w:lvl>
    <w:lvl w:ilvl="2" w:tplc="3A367844">
      <w:numFmt w:val="bullet"/>
      <w:lvlText w:val="•"/>
      <w:lvlJc w:val="left"/>
      <w:pPr>
        <w:ind w:left="979" w:hanging="168"/>
      </w:pPr>
      <w:rPr>
        <w:rFonts w:hint="default"/>
        <w:lang w:val="en-US" w:eastAsia="en-US" w:bidi="ar-SA"/>
      </w:rPr>
    </w:lvl>
    <w:lvl w:ilvl="3" w:tplc="53DA41A2">
      <w:numFmt w:val="bullet"/>
      <w:lvlText w:val="•"/>
      <w:lvlJc w:val="left"/>
      <w:pPr>
        <w:ind w:left="1419" w:hanging="168"/>
      </w:pPr>
      <w:rPr>
        <w:rFonts w:hint="default"/>
        <w:lang w:val="en-US" w:eastAsia="en-US" w:bidi="ar-SA"/>
      </w:rPr>
    </w:lvl>
    <w:lvl w:ilvl="4" w:tplc="37B8FC9A">
      <w:numFmt w:val="bullet"/>
      <w:lvlText w:val="•"/>
      <w:lvlJc w:val="left"/>
      <w:pPr>
        <w:ind w:left="1859" w:hanging="168"/>
      </w:pPr>
      <w:rPr>
        <w:rFonts w:hint="default"/>
        <w:lang w:val="en-US" w:eastAsia="en-US" w:bidi="ar-SA"/>
      </w:rPr>
    </w:lvl>
    <w:lvl w:ilvl="5" w:tplc="397A8682">
      <w:numFmt w:val="bullet"/>
      <w:lvlText w:val="•"/>
      <w:lvlJc w:val="left"/>
      <w:pPr>
        <w:ind w:left="2299" w:hanging="168"/>
      </w:pPr>
      <w:rPr>
        <w:rFonts w:hint="default"/>
        <w:lang w:val="en-US" w:eastAsia="en-US" w:bidi="ar-SA"/>
      </w:rPr>
    </w:lvl>
    <w:lvl w:ilvl="6" w:tplc="98FEACD2">
      <w:numFmt w:val="bullet"/>
      <w:lvlText w:val="•"/>
      <w:lvlJc w:val="left"/>
      <w:pPr>
        <w:ind w:left="2739" w:hanging="168"/>
      </w:pPr>
      <w:rPr>
        <w:rFonts w:hint="default"/>
        <w:lang w:val="en-US" w:eastAsia="en-US" w:bidi="ar-SA"/>
      </w:rPr>
    </w:lvl>
    <w:lvl w:ilvl="7" w:tplc="6D40B82C">
      <w:numFmt w:val="bullet"/>
      <w:lvlText w:val="•"/>
      <w:lvlJc w:val="left"/>
      <w:pPr>
        <w:ind w:left="3179" w:hanging="168"/>
      </w:pPr>
      <w:rPr>
        <w:rFonts w:hint="default"/>
        <w:lang w:val="en-US" w:eastAsia="en-US" w:bidi="ar-SA"/>
      </w:rPr>
    </w:lvl>
    <w:lvl w:ilvl="8" w:tplc="0C102F24">
      <w:numFmt w:val="bullet"/>
      <w:lvlText w:val="•"/>
      <w:lvlJc w:val="left"/>
      <w:pPr>
        <w:ind w:left="3619" w:hanging="168"/>
      </w:pPr>
      <w:rPr>
        <w:rFonts w:hint="default"/>
        <w:lang w:val="en-US" w:eastAsia="en-US" w:bidi="ar-SA"/>
      </w:rPr>
    </w:lvl>
  </w:abstractNum>
  <w:abstractNum w:abstractNumId="1" w15:restartNumberingAfterBreak="0">
    <w:nsid w:val="26012A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62C26CD"/>
    <w:multiLevelType w:val="hybridMultilevel"/>
    <w:tmpl w:val="8CDE9828"/>
    <w:lvl w:ilvl="0" w:tplc="D32CE9F2">
      <w:numFmt w:val="bullet"/>
      <w:lvlText w:val="▪"/>
      <w:lvlJc w:val="left"/>
      <w:pPr>
        <w:ind w:left="105" w:hanging="80"/>
      </w:pPr>
      <w:rPr>
        <w:rFonts w:ascii="Calibri" w:eastAsia="Calibri" w:hAnsi="Calibri" w:cs="Calibri" w:hint="default"/>
        <w:spacing w:val="-2"/>
        <w:w w:val="100"/>
        <w:sz w:val="20"/>
        <w:szCs w:val="20"/>
        <w:lang w:val="en-US" w:eastAsia="en-US" w:bidi="ar-SA"/>
      </w:rPr>
    </w:lvl>
    <w:lvl w:ilvl="1" w:tplc="78CE058C">
      <w:numFmt w:val="bullet"/>
      <w:lvlText w:val="•"/>
      <w:lvlJc w:val="left"/>
      <w:pPr>
        <w:ind w:left="539" w:hanging="80"/>
      </w:pPr>
      <w:rPr>
        <w:rFonts w:hint="default"/>
        <w:lang w:val="en-US" w:eastAsia="en-US" w:bidi="ar-SA"/>
      </w:rPr>
    </w:lvl>
    <w:lvl w:ilvl="2" w:tplc="1F30BB24">
      <w:numFmt w:val="bullet"/>
      <w:lvlText w:val="•"/>
      <w:lvlJc w:val="left"/>
      <w:pPr>
        <w:ind w:left="979" w:hanging="80"/>
      </w:pPr>
      <w:rPr>
        <w:rFonts w:hint="default"/>
        <w:lang w:val="en-US" w:eastAsia="en-US" w:bidi="ar-SA"/>
      </w:rPr>
    </w:lvl>
    <w:lvl w:ilvl="3" w:tplc="F6CA6138">
      <w:numFmt w:val="bullet"/>
      <w:lvlText w:val="•"/>
      <w:lvlJc w:val="left"/>
      <w:pPr>
        <w:ind w:left="1419" w:hanging="80"/>
      </w:pPr>
      <w:rPr>
        <w:rFonts w:hint="default"/>
        <w:lang w:val="en-US" w:eastAsia="en-US" w:bidi="ar-SA"/>
      </w:rPr>
    </w:lvl>
    <w:lvl w:ilvl="4" w:tplc="3910A548">
      <w:numFmt w:val="bullet"/>
      <w:lvlText w:val="•"/>
      <w:lvlJc w:val="left"/>
      <w:pPr>
        <w:ind w:left="1859" w:hanging="80"/>
      </w:pPr>
      <w:rPr>
        <w:rFonts w:hint="default"/>
        <w:lang w:val="en-US" w:eastAsia="en-US" w:bidi="ar-SA"/>
      </w:rPr>
    </w:lvl>
    <w:lvl w:ilvl="5" w:tplc="5CEC3CA0">
      <w:numFmt w:val="bullet"/>
      <w:lvlText w:val="•"/>
      <w:lvlJc w:val="left"/>
      <w:pPr>
        <w:ind w:left="2299" w:hanging="80"/>
      </w:pPr>
      <w:rPr>
        <w:rFonts w:hint="default"/>
        <w:lang w:val="en-US" w:eastAsia="en-US" w:bidi="ar-SA"/>
      </w:rPr>
    </w:lvl>
    <w:lvl w:ilvl="6" w:tplc="4D123DAC">
      <w:numFmt w:val="bullet"/>
      <w:lvlText w:val="•"/>
      <w:lvlJc w:val="left"/>
      <w:pPr>
        <w:ind w:left="2739" w:hanging="80"/>
      </w:pPr>
      <w:rPr>
        <w:rFonts w:hint="default"/>
        <w:lang w:val="en-US" w:eastAsia="en-US" w:bidi="ar-SA"/>
      </w:rPr>
    </w:lvl>
    <w:lvl w:ilvl="7" w:tplc="47921B90">
      <w:numFmt w:val="bullet"/>
      <w:lvlText w:val="•"/>
      <w:lvlJc w:val="left"/>
      <w:pPr>
        <w:ind w:left="3179" w:hanging="80"/>
      </w:pPr>
      <w:rPr>
        <w:rFonts w:hint="default"/>
        <w:lang w:val="en-US" w:eastAsia="en-US" w:bidi="ar-SA"/>
      </w:rPr>
    </w:lvl>
    <w:lvl w:ilvl="8" w:tplc="BF1C440A">
      <w:numFmt w:val="bullet"/>
      <w:lvlText w:val="•"/>
      <w:lvlJc w:val="left"/>
      <w:pPr>
        <w:ind w:left="3619" w:hanging="8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4"/>
    <w:rsid w:val="00734E14"/>
    <w:rsid w:val="007527A6"/>
    <w:rsid w:val="00C42161"/>
    <w:rsid w:val="00D25A50"/>
    <w:rsid w:val="00E149B7"/>
    <w:rsid w:val="00EA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ABB7"/>
  <w15:docId w15:val="{CE98250A-9E53-49BC-844B-4FCBC66E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7" w:right="3273"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53495">
      <w:bodyDiv w:val="1"/>
      <w:marLeft w:val="0"/>
      <w:marRight w:val="0"/>
      <w:marTop w:val="0"/>
      <w:marBottom w:val="0"/>
      <w:divBdr>
        <w:top w:val="none" w:sz="0" w:space="0" w:color="auto"/>
        <w:left w:val="none" w:sz="0" w:space="0" w:color="auto"/>
        <w:bottom w:val="none" w:sz="0" w:space="0" w:color="auto"/>
        <w:right w:val="none" w:sz="0" w:space="0" w:color="auto"/>
      </w:divBdr>
    </w:div>
    <w:div w:id="1403328318">
      <w:bodyDiv w:val="1"/>
      <w:marLeft w:val="0"/>
      <w:marRight w:val="0"/>
      <w:marTop w:val="0"/>
      <w:marBottom w:val="0"/>
      <w:divBdr>
        <w:top w:val="none" w:sz="0" w:space="0" w:color="auto"/>
        <w:left w:val="none" w:sz="0" w:space="0" w:color="auto"/>
        <w:bottom w:val="none" w:sz="0" w:space="0" w:color="auto"/>
        <w:right w:val="none" w:sz="0" w:space="0" w:color="auto"/>
      </w:divBdr>
    </w:div>
    <w:div w:id="199100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Guest User</cp:lastModifiedBy>
  <cp:revision>3</cp:revision>
  <dcterms:created xsi:type="dcterms:W3CDTF">2023-11-05T08:30:00Z</dcterms:created>
  <dcterms:modified xsi:type="dcterms:W3CDTF">2023-11-05T08:30:00Z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2016</vt:lpwstr>
  </property>
  <property fmtid="{D5CDD505-2E9C-101B-9397-08002B2CF9AE}" pid="4" name="LastSaved">
    <vt:filetime>2023-05-18T00:00:00Z</vt:filetime>
  </property>
</Properties>
</file>