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069445C7"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3402D2">
              <w:rPr>
                <w:noProof/>
                <w:webHidden/>
              </w:rPr>
              <w:t>3</w:t>
            </w:r>
            <w:r w:rsidR="009318E0">
              <w:rPr>
                <w:noProof/>
                <w:webHidden/>
              </w:rPr>
              <w:fldChar w:fldCharType="end"/>
            </w:r>
          </w:hyperlink>
        </w:p>
        <w:p w14:paraId="4024EA1D" w14:textId="26F57932" w:rsidR="009318E0" w:rsidRDefault="009318E0">
          <w:pPr>
            <w:pStyle w:val="TM1"/>
            <w:tabs>
              <w:tab w:val="left" w:pos="440"/>
              <w:tab w:val="right" w:leader="dot" w:pos="10456"/>
            </w:tabs>
            <w:rPr>
              <w:rFonts w:eastAsiaTheme="minorEastAsia"/>
              <w:noProof/>
              <w:lang w:eastAsia="fr-FR"/>
            </w:rPr>
          </w:pPr>
          <w:hyperlink w:anchor="_Toc1308086" w:history="1">
            <w:r w:rsidRPr="00771EBE">
              <w:rPr>
                <w:rStyle w:val="Lienhypertexte"/>
                <w:noProof/>
              </w:rPr>
              <w:t>II.</w:t>
            </w:r>
            <w:r>
              <w:rPr>
                <w:rFonts w:eastAsiaTheme="minorEastAsia"/>
                <w:noProof/>
                <w:lang w:eastAsia="fr-FR"/>
              </w:rPr>
              <w:tab/>
            </w:r>
            <w:r w:rsidRPr="00771EBE">
              <w:rPr>
                <w:rStyle w:val="Lienhypertexte"/>
                <w:noProof/>
              </w:rPr>
              <w:t>Documentation et terminologie</w:t>
            </w:r>
            <w:r>
              <w:rPr>
                <w:noProof/>
                <w:webHidden/>
              </w:rPr>
              <w:tab/>
            </w:r>
            <w:r>
              <w:rPr>
                <w:noProof/>
                <w:webHidden/>
              </w:rPr>
              <w:fldChar w:fldCharType="begin"/>
            </w:r>
            <w:r>
              <w:rPr>
                <w:noProof/>
                <w:webHidden/>
              </w:rPr>
              <w:instrText xml:space="preserve"> PAGEREF _Toc1308086 \h </w:instrText>
            </w:r>
            <w:r>
              <w:rPr>
                <w:noProof/>
                <w:webHidden/>
              </w:rPr>
            </w:r>
            <w:r>
              <w:rPr>
                <w:noProof/>
                <w:webHidden/>
              </w:rPr>
              <w:fldChar w:fldCharType="separate"/>
            </w:r>
            <w:r w:rsidR="003402D2">
              <w:rPr>
                <w:noProof/>
                <w:webHidden/>
              </w:rPr>
              <w:t>3</w:t>
            </w:r>
            <w:r>
              <w:rPr>
                <w:noProof/>
                <w:webHidden/>
              </w:rPr>
              <w:fldChar w:fldCharType="end"/>
            </w:r>
          </w:hyperlink>
        </w:p>
        <w:p w14:paraId="6336240A" w14:textId="0B50568B" w:rsidR="009318E0" w:rsidRDefault="009318E0">
          <w:pPr>
            <w:pStyle w:val="TM2"/>
            <w:tabs>
              <w:tab w:val="left" w:pos="660"/>
              <w:tab w:val="right" w:leader="dot" w:pos="10456"/>
            </w:tabs>
            <w:rPr>
              <w:rFonts w:eastAsiaTheme="minorEastAsia"/>
              <w:noProof/>
              <w:lang w:eastAsia="fr-FR"/>
            </w:rPr>
          </w:pPr>
          <w:hyperlink w:anchor="_Toc1308087" w:history="1">
            <w:r w:rsidRPr="00771EBE">
              <w:rPr>
                <w:rStyle w:val="Lienhypertexte"/>
                <w:noProof/>
              </w:rPr>
              <w:t>1.</w:t>
            </w:r>
            <w:r>
              <w:rPr>
                <w:rFonts w:eastAsiaTheme="minorEastAsia"/>
                <w:noProof/>
                <w:lang w:eastAsia="fr-FR"/>
              </w:rPr>
              <w:tab/>
            </w:r>
            <w:r w:rsidRPr="00771EBE">
              <w:rPr>
                <w:rStyle w:val="Lienhypertexte"/>
                <w:noProof/>
              </w:rPr>
              <w:t>Références Documentaires</w:t>
            </w:r>
            <w:r>
              <w:rPr>
                <w:noProof/>
                <w:webHidden/>
              </w:rPr>
              <w:tab/>
            </w:r>
            <w:r>
              <w:rPr>
                <w:noProof/>
                <w:webHidden/>
              </w:rPr>
              <w:fldChar w:fldCharType="begin"/>
            </w:r>
            <w:r>
              <w:rPr>
                <w:noProof/>
                <w:webHidden/>
              </w:rPr>
              <w:instrText xml:space="preserve"> PAGEREF _Toc1308087 \h </w:instrText>
            </w:r>
            <w:r>
              <w:rPr>
                <w:noProof/>
                <w:webHidden/>
              </w:rPr>
            </w:r>
            <w:r>
              <w:rPr>
                <w:noProof/>
                <w:webHidden/>
              </w:rPr>
              <w:fldChar w:fldCharType="separate"/>
            </w:r>
            <w:r w:rsidR="003402D2">
              <w:rPr>
                <w:noProof/>
                <w:webHidden/>
              </w:rPr>
              <w:t>3</w:t>
            </w:r>
            <w:r>
              <w:rPr>
                <w:noProof/>
                <w:webHidden/>
              </w:rPr>
              <w:fldChar w:fldCharType="end"/>
            </w:r>
          </w:hyperlink>
        </w:p>
        <w:p w14:paraId="2F1174BE" w14:textId="4CCAA9D1" w:rsidR="009318E0" w:rsidRDefault="009318E0">
          <w:pPr>
            <w:pStyle w:val="TM2"/>
            <w:tabs>
              <w:tab w:val="left" w:pos="660"/>
              <w:tab w:val="right" w:leader="dot" w:pos="10456"/>
            </w:tabs>
            <w:rPr>
              <w:rFonts w:eastAsiaTheme="minorEastAsia"/>
              <w:noProof/>
              <w:lang w:eastAsia="fr-FR"/>
            </w:rPr>
          </w:pPr>
          <w:hyperlink w:anchor="_Toc1308088" w:history="1">
            <w:r w:rsidRPr="00771EBE">
              <w:rPr>
                <w:rStyle w:val="Lienhypertexte"/>
                <w:noProof/>
              </w:rPr>
              <w:t>2.</w:t>
            </w:r>
            <w:r>
              <w:rPr>
                <w:rFonts w:eastAsiaTheme="minorEastAsia"/>
                <w:noProof/>
                <w:lang w:eastAsia="fr-FR"/>
              </w:rPr>
              <w:tab/>
            </w:r>
            <w:r w:rsidRPr="00771EBE">
              <w:rPr>
                <w:rStyle w:val="Lienhypertexte"/>
                <w:noProof/>
              </w:rPr>
              <w:t>Terminologie / Glossaire</w:t>
            </w:r>
            <w:r>
              <w:rPr>
                <w:noProof/>
                <w:webHidden/>
              </w:rPr>
              <w:tab/>
            </w:r>
            <w:r>
              <w:rPr>
                <w:noProof/>
                <w:webHidden/>
              </w:rPr>
              <w:fldChar w:fldCharType="begin"/>
            </w:r>
            <w:r>
              <w:rPr>
                <w:noProof/>
                <w:webHidden/>
              </w:rPr>
              <w:instrText xml:space="preserve"> PAGEREF _Toc1308088 \h </w:instrText>
            </w:r>
            <w:r>
              <w:rPr>
                <w:noProof/>
                <w:webHidden/>
              </w:rPr>
            </w:r>
            <w:r>
              <w:rPr>
                <w:noProof/>
                <w:webHidden/>
              </w:rPr>
              <w:fldChar w:fldCharType="separate"/>
            </w:r>
            <w:r w:rsidR="003402D2">
              <w:rPr>
                <w:noProof/>
                <w:webHidden/>
              </w:rPr>
              <w:t>3</w:t>
            </w:r>
            <w:r>
              <w:rPr>
                <w:noProof/>
                <w:webHidden/>
              </w:rPr>
              <w:fldChar w:fldCharType="end"/>
            </w:r>
          </w:hyperlink>
        </w:p>
        <w:p w14:paraId="4BB86015" w14:textId="0AF13011" w:rsidR="009318E0" w:rsidRDefault="009318E0">
          <w:pPr>
            <w:pStyle w:val="TM1"/>
            <w:tabs>
              <w:tab w:val="left" w:pos="660"/>
              <w:tab w:val="right" w:leader="dot" w:pos="10456"/>
            </w:tabs>
            <w:rPr>
              <w:rFonts w:eastAsiaTheme="minorEastAsia"/>
              <w:noProof/>
              <w:lang w:eastAsia="fr-FR"/>
            </w:rPr>
          </w:pPr>
          <w:hyperlink w:anchor="_Toc1308089" w:history="1">
            <w:r w:rsidRPr="00771EBE">
              <w:rPr>
                <w:rStyle w:val="Lienhypertexte"/>
                <w:noProof/>
              </w:rPr>
              <w:t>III.</w:t>
            </w:r>
            <w:r>
              <w:rPr>
                <w:rFonts w:eastAsiaTheme="minorEastAsia"/>
                <w:noProof/>
                <w:lang w:eastAsia="fr-FR"/>
              </w:rPr>
              <w:tab/>
            </w:r>
            <w:r w:rsidRPr="00771EBE">
              <w:rPr>
                <w:rStyle w:val="Lienhypertexte"/>
                <w:noProof/>
              </w:rPr>
              <w:t>Contexte et motivation de l’action</w:t>
            </w:r>
            <w:r>
              <w:rPr>
                <w:noProof/>
                <w:webHidden/>
              </w:rPr>
              <w:tab/>
            </w:r>
            <w:r>
              <w:rPr>
                <w:noProof/>
                <w:webHidden/>
              </w:rPr>
              <w:fldChar w:fldCharType="begin"/>
            </w:r>
            <w:r>
              <w:rPr>
                <w:noProof/>
                <w:webHidden/>
              </w:rPr>
              <w:instrText xml:space="preserve"> PAGEREF _Toc1308089 \h </w:instrText>
            </w:r>
            <w:r>
              <w:rPr>
                <w:noProof/>
                <w:webHidden/>
              </w:rPr>
            </w:r>
            <w:r>
              <w:rPr>
                <w:noProof/>
                <w:webHidden/>
              </w:rPr>
              <w:fldChar w:fldCharType="separate"/>
            </w:r>
            <w:r w:rsidR="003402D2">
              <w:rPr>
                <w:noProof/>
                <w:webHidden/>
              </w:rPr>
              <w:t>4</w:t>
            </w:r>
            <w:r>
              <w:rPr>
                <w:noProof/>
                <w:webHidden/>
              </w:rPr>
              <w:fldChar w:fldCharType="end"/>
            </w:r>
          </w:hyperlink>
        </w:p>
        <w:p w14:paraId="7B4AF545" w14:textId="2AFAE9CA" w:rsidR="009318E0" w:rsidRDefault="009318E0">
          <w:pPr>
            <w:pStyle w:val="TM2"/>
            <w:tabs>
              <w:tab w:val="left" w:pos="660"/>
              <w:tab w:val="right" w:leader="dot" w:pos="10456"/>
            </w:tabs>
            <w:rPr>
              <w:rFonts w:eastAsiaTheme="minorEastAsia"/>
              <w:noProof/>
              <w:lang w:eastAsia="fr-FR"/>
            </w:rPr>
          </w:pPr>
          <w:hyperlink w:anchor="_Toc1308090" w:history="1">
            <w:r w:rsidRPr="00771EBE">
              <w:rPr>
                <w:rStyle w:val="Lienhypertexte"/>
                <w:noProof/>
              </w:rPr>
              <w:t>1.</w:t>
            </w:r>
            <w:r>
              <w:rPr>
                <w:rFonts w:eastAsiaTheme="minorEastAsia"/>
                <w:noProof/>
                <w:lang w:eastAsia="fr-FR"/>
              </w:rPr>
              <w:tab/>
            </w:r>
            <w:r w:rsidRPr="00771EBE">
              <w:rPr>
                <w:rStyle w:val="Lienhypertexte"/>
                <w:noProof/>
              </w:rPr>
              <w:t>Gestion des stocks</w:t>
            </w:r>
            <w:r>
              <w:rPr>
                <w:noProof/>
                <w:webHidden/>
              </w:rPr>
              <w:tab/>
            </w:r>
            <w:r>
              <w:rPr>
                <w:noProof/>
                <w:webHidden/>
              </w:rPr>
              <w:fldChar w:fldCharType="begin"/>
            </w:r>
            <w:r>
              <w:rPr>
                <w:noProof/>
                <w:webHidden/>
              </w:rPr>
              <w:instrText xml:space="preserve"> PAGEREF _Toc1308090 \h </w:instrText>
            </w:r>
            <w:r>
              <w:rPr>
                <w:noProof/>
                <w:webHidden/>
              </w:rPr>
            </w:r>
            <w:r>
              <w:rPr>
                <w:noProof/>
                <w:webHidden/>
              </w:rPr>
              <w:fldChar w:fldCharType="separate"/>
            </w:r>
            <w:r w:rsidR="003402D2">
              <w:rPr>
                <w:noProof/>
                <w:webHidden/>
              </w:rPr>
              <w:t>5</w:t>
            </w:r>
            <w:r>
              <w:rPr>
                <w:noProof/>
                <w:webHidden/>
              </w:rPr>
              <w:fldChar w:fldCharType="end"/>
            </w:r>
          </w:hyperlink>
        </w:p>
        <w:p w14:paraId="05B04AA3" w14:textId="32A4E44C" w:rsidR="009318E0" w:rsidRDefault="009318E0">
          <w:pPr>
            <w:pStyle w:val="TM2"/>
            <w:tabs>
              <w:tab w:val="left" w:pos="660"/>
              <w:tab w:val="right" w:leader="dot" w:pos="10456"/>
            </w:tabs>
            <w:rPr>
              <w:rFonts w:eastAsiaTheme="minorEastAsia"/>
              <w:noProof/>
              <w:lang w:eastAsia="fr-FR"/>
            </w:rPr>
          </w:pPr>
          <w:hyperlink w:anchor="_Toc1308091" w:history="1">
            <w:r w:rsidRPr="00771EBE">
              <w:rPr>
                <w:rStyle w:val="Lienhypertexte"/>
                <w:noProof/>
              </w:rPr>
              <w:t>2.</w:t>
            </w:r>
            <w:r>
              <w:rPr>
                <w:rFonts w:eastAsiaTheme="minorEastAsia"/>
                <w:noProof/>
                <w:lang w:eastAsia="fr-FR"/>
              </w:rPr>
              <w:tab/>
            </w:r>
            <w:r w:rsidRPr="00771EBE">
              <w:rPr>
                <w:rStyle w:val="Lienhypertexte"/>
                <w:noProof/>
              </w:rPr>
              <w:t>Gestion financière</w:t>
            </w:r>
            <w:r>
              <w:rPr>
                <w:noProof/>
                <w:webHidden/>
              </w:rPr>
              <w:tab/>
            </w:r>
            <w:r>
              <w:rPr>
                <w:noProof/>
                <w:webHidden/>
              </w:rPr>
              <w:fldChar w:fldCharType="begin"/>
            </w:r>
            <w:r>
              <w:rPr>
                <w:noProof/>
                <w:webHidden/>
              </w:rPr>
              <w:instrText xml:space="preserve"> PAGEREF _Toc1308091 \h </w:instrText>
            </w:r>
            <w:r>
              <w:rPr>
                <w:noProof/>
                <w:webHidden/>
              </w:rPr>
            </w:r>
            <w:r>
              <w:rPr>
                <w:noProof/>
                <w:webHidden/>
              </w:rPr>
              <w:fldChar w:fldCharType="separate"/>
            </w:r>
            <w:r w:rsidR="003402D2">
              <w:rPr>
                <w:noProof/>
                <w:webHidden/>
              </w:rPr>
              <w:t>6</w:t>
            </w:r>
            <w:r>
              <w:rPr>
                <w:noProof/>
                <w:webHidden/>
              </w:rPr>
              <w:fldChar w:fldCharType="end"/>
            </w:r>
          </w:hyperlink>
        </w:p>
        <w:p w14:paraId="572BF859" w14:textId="2513597D" w:rsidR="009318E0" w:rsidRDefault="009318E0">
          <w:pPr>
            <w:pStyle w:val="TM2"/>
            <w:tabs>
              <w:tab w:val="left" w:pos="660"/>
              <w:tab w:val="right" w:leader="dot" w:pos="10456"/>
            </w:tabs>
            <w:rPr>
              <w:rFonts w:eastAsiaTheme="minorEastAsia"/>
              <w:noProof/>
              <w:lang w:eastAsia="fr-FR"/>
            </w:rPr>
          </w:pPr>
          <w:hyperlink w:anchor="_Toc1308092" w:history="1">
            <w:r w:rsidRPr="00771EBE">
              <w:rPr>
                <w:rStyle w:val="Lienhypertexte"/>
                <w:noProof/>
              </w:rPr>
              <w:t>3.</w:t>
            </w:r>
            <w:r>
              <w:rPr>
                <w:rFonts w:eastAsiaTheme="minorEastAsia"/>
                <w:noProof/>
                <w:lang w:eastAsia="fr-FR"/>
              </w:rPr>
              <w:tab/>
            </w:r>
            <w:r w:rsidRPr="00771EBE">
              <w:rPr>
                <w:rStyle w:val="Lienhypertexte"/>
                <w:noProof/>
              </w:rPr>
              <w:t>Interaction Utilisateur</w:t>
            </w:r>
            <w:r>
              <w:rPr>
                <w:noProof/>
                <w:webHidden/>
              </w:rPr>
              <w:tab/>
            </w:r>
            <w:r>
              <w:rPr>
                <w:noProof/>
                <w:webHidden/>
              </w:rPr>
              <w:fldChar w:fldCharType="begin"/>
            </w:r>
            <w:r>
              <w:rPr>
                <w:noProof/>
                <w:webHidden/>
              </w:rPr>
              <w:instrText xml:space="preserve"> PAGEREF _Toc1308092 \h </w:instrText>
            </w:r>
            <w:r>
              <w:rPr>
                <w:noProof/>
                <w:webHidden/>
              </w:rPr>
            </w:r>
            <w:r>
              <w:rPr>
                <w:noProof/>
                <w:webHidden/>
              </w:rPr>
              <w:fldChar w:fldCharType="separate"/>
            </w:r>
            <w:r w:rsidR="003402D2">
              <w:rPr>
                <w:noProof/>
                <w:webHidden/>
              </w:rPr>
              <w:t>6</w:t>
            </w:r>
            <w:r>
              <w:rPr>
                <w:noProof/>
                <w:webHidden/>
              </w:rPr>
              <w:fldChar w:fldCharType="end"/>
            </w:r>
          </w:hyperlink>
        </w:p>
        <w:p w14:paraId="4CE363D2" w14:textId="7045F9EC" w:rsidR="009318E0" w:rsidRDefault="009318E0">
          <w:pPr>
            <w:pStyle w:val="TM1"/>
            <w:tabs>
              <w:tab w:val="left" w:pos="660"/>
              <w:tab w:val="right" w:leader="dot" w:pos="10456"/>
            </w:tabs>
            <w:rPr>
              <w:rFonts w:eastAsiaTheme="minorEastAsia"/>
              <w:noProof/>
              <w:lang w:eastAsia="fr-FR"/>
            </w:rPr>
          </w:pPr>
          <w:hyperlink w:anchor="_Toc1308093" w:history="1">
            <w:r w:rsidRPr="00771EBE">
              <w:rPr>
                <w:rStyle w:val="Lienhypertexte"/>
                <w:noProof/>
              </w:rPr>
              <w:t>IV.</w:t>
            </w:r>
            <w:r>
              <w:rPr>
                <w:rFonts w:eastAsiaTheme="minorEastAsia"/>
                <w:noProof/>
                <w:lang w:eastAsia="fr-FR"/>
              </w:rPr>
              <w:tab/>
            </w:r>
            <w:r w:rsidRPr="00771EBE">
              <w:rPr>
                <w:rStyle w:val="Lienhypertexte"/>
                <w:noProof/>
              </w:rPr>
              <w:t>Rôle et utilisation</w:t>
            </w:r>
            <w:r>
              <w:rPr>
                <w:noProof/>
                <w:webHidden/>
              </w:rPr>
              <w:tab/>
            </w:r>
            <w:r>
              <w:rPr>
                <w:noProof/>
                <w:webHidden/>
              </w:rPr>
              <w:fldChar w:fldCharType="begin"/>
            </w:r>
            <w:r>
              <w:rPr>
                <w:noProof/>
                <w:webHidden/>
              </w:rPr>
              <w:instrText xml:space="preserve"> PAGEREF _Toc1308093 \h </w:instrText>
            </w:r>
            <w:r>
              <w:rPr>
                <w:noProof/>
                <w:webHidden/>
              </w:rPr>
            </w:r>
            <w:r>
              <w:rPr>
                <w:noProof/>
                <w:webHidden/>
              </w:rPr>
              <w:fldChar w:fldCharType="separate"/>
            </w:r>
            <w:r w:rsidR="003402D2">
              <w:rPr>
                <w:noProof/>
                <w:webHidden/>
              </w:rPr>
              <w:t>7</w:t>
            </w:r>
            <w:r>
              <w:rPr>
                <w:noProof/>
                <w:webHidden/>
              </w:rPr>
              <w:fldChar w:fldCharType="end"/>
            </w:r>
          </w:hyperlink>
        </w:p>
        <w:p w14:paraId="4A7941EF" w14:textId="3D313725" w:rsidR="009318E0" w:rsidRDefault="009318E0">
          <w:pPr>
            <w:pStyle w:val="TM2"/>
            <w:tabs>
              <w:tab w:val="left" w:pos="660"/>
              <w:tab w:val="right" w:leader="dot" w:pos="10456"/>
            </w:tabs>
            <w:rPr>
              <w:rFonts w:eastAsiaTheme="minorEastAsia"/>
              <w:noProof/>
              <w:lang w:eastAsia="fr-FR"/>
            </w:rPr>
          </w:pPr>
          <w:hyperlink w:anchor="_Toc1308094" w:history="1">
            <w:r w:rsidRPr="00771EBE">
              <w:rPr>
                <w:rStyle w:val="Lienhypertexte"/>
                <w:noProof/>
              </w:rPr>
              <w:t>1.</w:t>
            </w:r>
            <w:r>
              <w:rPr>
                <w:rFonts w:eastAsiaTheme="minorEastAsia"/>
                <w:noProof/>
                <w:lang w:eastAsia="fr-FR"/>
              </w:rPr>
              <w:tab/>
            </w:r>
            <w:r w:rsidRPr="00771EBE">
              <w:rPr>
                <w:rStyle w:val="Lienhypertexte"/>
                <w:noProof/>
              </w:rPr>
              <w:t>Besoins essentiels et principes choisis</w:t>
            </w:r>
            <w:r>
              <w:rPr>
                <w:noProof/>
                <w:webHidden/>
              </w:rPr>
              <w:tab/>
            </w:r>
            <w:r>
              <w:rPr>
                <w:noProof/>
                <w:webHidden/>
              </w:rPr>
              <w:fldChar w:fldCharType="begin"/>
            </w:r>
            <w:r>
              <w:rPr>
                <w:noProof/>
                <w:webHidden/>
              </w:rPr>
              <w:instrText xml:space="preserve"> PAGEREF _Toc1308094 \h </w:instrText>
            </w:r>
            <w:r>
              <w:rPr>
                <w:noProof/>
                <w:webHidden/>
              </w:rPr>
            </w:r>
            <w:r>
              <w:rPr>
                <w:noProof/>
                <w:webHidden/>
              </w:rPr>
              <w:fldChar w:fldCharType="separate"/>
            </w:r>
            <w:r w:rsidR="003402D2">
              <w:rPr>
                <w:noProof/>
                <w:webHidden/>
              </w:rPr>
              <w:t>7</w:t>
            </w:r>
            <w:r>
              <w:rPr>
                <w:noProof/>
                <w:webHidden/>
              </w:rPr>
              <w:fldChar w:fldCharType="end"/>
            </w:r>
          </w:hyperlink>
        </w:p>
        <w:p w14:paraId="28E35514" w14:textId="17708B68" w:rsidR="009318E0" w:rsidRDefault="009318E0">
          <w:pPr>
            <w:pStyle w:val="TM2"/>
            <w:tabs>
              <w:tab w:val="left" w:pos="660"/>
              <w:tab w:val="right" w:leader="dot" w:pos="10456"/>
            </w:tabs>
            <w:rPr>
              <w:rFonts w:eastAsiaTheme="minorEastAsia"/>
              <w:noProof/>
              <w:lang w:eastAsia="fr-FR"/>
            </w:rPr>
          </w:pPr>
          <w:hyperlink w:anchor="_Toc1308095" w:history="1">
            <w:r w:rsidRPr="00771EBE">
              <w:rPr>
                <w:rStyle w:val="Lienhypertexte"/>
                <w:noProof/>
              </w:rPr>
              <w:t>2.</w:t>
            </w:r>
            <w:r>
              <w:rPr>
                <w:rFonts w:eastAsiaTheme="minorEastAsia"/>
                <w:noProof/>
                <w:lang w:eastAsia="fr-FR"/>
              </w:rPr>
              <w:tab/>
            </w:r>
            <w:r w:rsidRPr="00771EBE">
              <w:rPr>
                <w:rStyle w:val="Lienhypertexte"/>
                <w:noProof/>
              </w:rPr>
              <w:t>Profil de vie</w:t>
            </w:r>
            <w:r>
              <w:rPr>
                <w:noProof/>
                <w:webHidden/>
              </w:rPr>
              <w:tab/>
            </w:r>
            <w:r>
              <w:rPr>
                <w:noProof/>
                <w:webHidden/>
              </w:rPr>
              <w:fldChar w:fldCharType="begin"/>
            </w:r>
            <w:r>
              <w:rPr>
                <w:noProof/>
                <w:webHidden/>
              </w:rPr>
              <w:instrText xml:space="preserve"> PAGEREF _Toc1308095 \h </w:instrText>
            </w:r>
            <w:r>
              <w:rPr>
                <w:noProof/>
                <w:webHidden/>
              </w:rPr>
            </w:r>
            <w:r>
              <w:rPr>
                <w:noProof/>
                <w:webHidden/>
              </w:rPr>
              <w:fldChar w:fldCharType="separate"/>
            </w:r>
            <w:r w:rsidR="003402D2">
              <w:rPr>
                <w:noProof/>
                <w:webHidden/>
              </w:rPr>
              <w:t>8</w:t>
            </w:r>
            <w:r>
              <w:rPr>
                <w:noProof/>
                <w:webHidden/>
              </w:rPr>
              <w:fldChar w:fldCharType="end"/>
            </w:r>
          </w:hyperlink>
        </w:p>
        <w:p w14:paraId="34439F48" w14:textId="5C2C26C2" w:rsidR="009318E0" w:rsidRDefault="009318E0">
          <w:pPr>
            <w:pStyle w:val="TM3"/>
            <w:tabs>
              <w:tab w:val="left" w:pos="880"/>
              <w:tab w:val="right" w:leader="dot" w:pos="10456"/>
            </w:tabs>
            <w:rPr>
              <w:rFonts w:eastAsiaTheme="minorEastAsia"/>
              <w:noProof/>
              <w:lang w:eastAsia="fr-FR"/>
            </w:rPr>
          </w:pPr>
          <w:hyperlink w:anchor="_Toc1308096" w:history="1">
            <w:r w:rsidRPr="00771EBE">
              <w:rPr>
                <w:rStyle w:val="Lienhypertexte"/>
                <w:noProof/>
              </w:rPr>
              <w:t>a)</w:t>
            </w:r>
            <w:r>
              <w:rPr>
                <w:rFonts w:eastAsiaTheme="minorEastAsia"/>
                <w:noProof/>
                <w:lang w:eastAsia="fr-FR"/>
              </w:rPr>
              <w:tab/>
            </w:r>
            <w:r w:rsidRPr="00771EBE">
              <w:rPr>
                <w:rStyle w:val="Lienhypertexte"/>
                <w:noProof/>
              </w:rPr>
              <w:t>Phase A : Installation</w:t>
            </w:r>
            <w:r>
              <w:rPr>
                <w:noProof/>
                <w:webHidden/>
              </w:rPr>
              <w:tab/>
            </w:r>
            <w:r>
              <w:rPr>
                <w:noProof/>
                <w:webHidden/>
              </w:rPr>
              <w:fldChar w:fldCharType="begin"/>
            </w:r>
            <w:r>
              <w:rPr>
                <w:noProof/>
                <w:webHidden/>
              </w:rPr>
              <w:instrText xml:space="preserve"> PAGEREF _Toc1308096 \h </w:instrText>
            </w:r>
            <w:r>
              <w:rPr>
                <w:noProof/>
                <w:webHidden/>
              </w:rPr>
            </w:r>
            <w:r>
              <w:rPr>
                <w:noProof/>
                <w:webHidden/>
              </w:rPr>
              <w:fldChar w:fldCharType="separate"/>
            </w:r>
            <w:r w:rsidR="003402D2">
              <w:rPr>
                <w:noProof/>
                <w:webHidden/>
              </w:rPr>
              <w:t>8</w:t>
            </w:r>
            <w:r>
              <w:rPr>
                <w:noProof/>
                <w:webHidden/>
              </w:rPr>
              <w:fldChar w:fldCharType="end"/>
            </w:r>
          </w:hyperlink>
        </w:p>
        <w:p w14:paraId="21425DC8" w14:textId="02EE28C8" w:rsidR="009318E0" w:rsidRDefault="009318E0">
          <w:pPr>
            <w:pStyle w:val="TM3"/>
            <w:tabs>
              <w:tab w:val="left" w:pos="880"/>
              <w:tab w:val="right" w:leader="dot" w:pos="10456"/>
            </w:tabs>
            <w:rPr>
              <w:rFonts w:eastAsiaTheme="minorEastAsia"/>
              <w:noProof/>
              <w:lang w:eastAsia="fr-FR"/>
            </w:rPr>
          </w:pPr>
          <w:hyperlink w:anchor="_Toc1308097" w:history="1">
            <w:r w:rsidRPr="00771EBE">
              <w:rPr>
                <w:rStyle w:val="Lienhypertexte"/>
                <w:noProof/>
              </w:rPr>
              <w:t>b)</w:t>
            </w:r>
            <w:r>
              <w:rPr>
                <w:rFonts w:eastAsiaTheme="minorEastAsia"/>
                <w:noProof/>
                <w:lang w:eastAsia="fr-FR"/>
              </w:rPr>
              <w:tab/>
            </w:r>
            <w:r w:rsidRPr="00771EBE">
              <w:rPr>
                <w:rStyle w:val="Lienhypertexte"/>
                <w:noProof/>
              </w:rPr>
              <w:t>Phase B : Initialisation des données</w:t>
            </w:r>
            <w:r>
              <w:rPr>
                <w:noProof/>
                <w:webHidden/>
              </w:rPr>
              <w:tab/>
            </w:r>
            <w:r>
              <w:rPr>
                <w:noProof/>
                <w:webHidden/>
              </w:rPr>
              <w:fldChar w:fldCharType="begin"/>
            </w:r>
            <w:r>
              <w:rPr>
                <w:noProof/>
                <w:webHidden/>
              </w:rPr>
              <w:instrText xml:space="preserve"> PAGEREF _Toc1308097 \h </w:instrText>
            </w:r>
            <w:r>
              <w:rPr>
                <w:noProof/>
                <w:webHidden/>
              </w:rPr>
            </w:r>
            <w:r>
              <w:rPr>
                <w:noProof/>
                <w:webHidden/>
              </w:rPr>
              <w:fldChar w:fldCharType="separate"/>
            </w:r>
            <w:r w:rsidR="003402D2">
              <w:rPr>
                <w:noProof/>
                <w:webHidden/>
              </w:rPr>
              <w:t>8</w:t>
            </w:r>
            <w:r>
              <w:rPr>
                <w:noProof/>
                <w:webHidden/>
              </w:rPr>
              <w:fldChar w:fldCharType="end"/>
            </w:r>
          </w:hyperlink>
        </w:p>
        <w:p w14:paraId="0A148638" w14:textId="49D6148C" w:rsidR="009318E0" w:rsidRDefault="009318E0">
          <w:pPr>
            <w:pStyle w:val="TM3"/>
            <w:tabs>
              <w:tab w:val="left" w:pos="880"/>
              <w:tab w:val="right" w:leader="dot" w:pos="10456"/>
            </w:tabs>
            <w:rPr>
              <w:rFonts w:eastAsiaTheme="minorEastAsia"/>
              <w:noProof/>
              <w:lang w:eastAsia="fr-FR"/>
            </w:rPr>
          </w:pPr>
          <w:hyperlink w:anchor="_Toc1308098" w:history="1">
            <w:r w:rsidRPr="00771EBE">
              <w:rPr>
                <w:rStyle w:val="Lienhypertexte"/>
                <w:noProof/>
              </w:rPr>
              <w:t>c)</w:t>
            </w:r>
            <w:r>
              <w:rPr>
                <w:rFonts w:eastAsiaTheme="minorEastAsia"/>
                <w:noProof/>
                <w:lang w:eastAsia="fr-FR"/>
              </w:rPr>
              <w:tab/>
            </w:r>
            <w:r w:rsidRPr="00771EBE">
              <w:rPr>
                <w:rStyle w:val="Lienhypertexte"/>
                <w:noProof/>
              </w:rPr>
              <w:t>Phase C : tests</w:t>
            </w:r>
            <w:r>
              <w:rPr>
                <w:noProof/>
                <w:webHidden/>
              </w:rPr>
              <w:tab/>
            </w:r>
            <w:r>
              <w:rPr>
                <w:noProof/>
                <w:webHidden/>
              </w:rPr>
              <w:fldChar w:fldCharType="begin"/>
            </w:r>
            <w:r>
              <w:rPr>
                <w:noProof/>
                <w:webHidden/>
              </w:rPr>
              <w:instrText xml:space="preserve"> PAGEREF _Toc1308098 \h </w:instrText>
            </w:r>
            <w:r>
              <w:rPr>
                <w:noProof/>
                <w:webHidden/>
              </w:rPr>
            </w:r>
            <w:r>
              <w:rPr>
                <w:noProof/>
                <w:webHidden/>
              </w:rPr>
              <w:fldChar w:fldCharType="separate"/>
            </w:r>
            <w:r w:rsidR="003402D2">
              <w:rPr>
                <w:noProof/>
                <w:webHidden/>
              </w:rPr>
              <w:t>8</w:t>
            </w:r>
            <w:r>
              <w:rPr>
                <w:noProof/>
                <w:webHidden/>
              </w:rPr>
              <w:fldChar w:fldCharType="end"/>
            </w:r>
          </w:hyperlink>
        </w:p>
        <w:p w14:paraId="506DCD89" w14:textId="7035A47E" w:rsidR="009318E0" w:rsidRDefault="009318E0">
          <w:pPr>
            <w:pStyle w:val="TM3"/>
            <w:tabs>
              <w:tab w:val="left" w:pos="880"/>
              <w:tab w:val="right" w:leader="dot" w:pos="10456"/>
            </w:tabs>
            <w:rPr>
              <w:rFonts w:eastAsiaTheme="minorEastAsia"/>
              <w:noProof/>
              <w:lang w:eastAsia="fr-FR"/>
            </w:rPr>
          </w:pPr>
          <w:hyperlink w:anchor="_Toc1308099" w:history="1">
            <w:r w:rsidRPr="00771EBE">
              <w:rPr>
                <w:rStyle w:val="Lienhypertexte"/>
                <w:noProof/>
              </w:rPr>
              <w:t>d)</w:t>
            </w:r>
            <w:r>
              <w:rPr>
                <w:rFonts w:eastAsiaTheme="minorEastAsia"/>
                <w:noProof/>
                <w:lang w:eastAsia="fr-FR"/>
              </w:rPr>
              <w:tab/>
            </w:r>
            <w:r w:rsidRPr="00771EBE">
              <w:rPr>
                <w:rStyle w:val="Lienhypertexte"/>
                <w:noProof/>
              </w:rPr>
              <w:t>Phase D : production</w:t>
            </w:r>
            <w:r>
              <w:rPr>
                <w:noProof/>
                <w:webHidden/>
              </w:rPr>
              <w:tab/>
            </w:r>
            <w:r>
              <w:rPr>
                <w:noProof/>
                <w:webHidden/>
              </w:rPr>
              <w:fldChar w:fldCharType="begin"/>
            </w:r>
            <w:r>
              <w:rPr>
                <w:noProof/>
                <w:webHidden/>
              </w:rPr>
              <w:instrText xml:space="preserve"> PAGEREF _Toc1308099 \h </w:instrText>
            </w:r>
            <w:r>
              <w:rPr>
                <w:noProof/>
                <w:webHidden/>
              </w:rPr>
            </w:r>
            <w:r>
              <w:rPr>
                <w:noProof/>
                <w:webHidden/>
              </w:rPr>
              <w:fldChar w:fldCharType="separate"/>
            </w:r>
            <w:r w:rsidR="003402D2">
              <w:rPr>
                <w:noProof/>
                <w:webHidden/>
              </w:rPr>
              <w:t>8</w:t>
            </w:r>
            <w:r>
              <w:rPr>
                <w:noProof/>
                <w:webHidden/>
              </w:rPr>
              <w:fldChar w:fldCharType="end"/>
            </w:r>
          </w:hyperlink>
        </w:p>
        <w:p w14:paraId="1F72EDA5" w14:textId="3E95E9A4" w:rsidR="009318E0" w:rsidRDefault="009318E0">
          <w:pPr>
            <w:pStyle w:val="TM2"/>
            <w:tabs>
              <w:tab w:val="left" w:pos="660"/>
              <w:tab w:val="right" w:leader="dot" w:pos="10456"/>
            </w:tabs>
            <w:rPr>
              <w:rFonts w:eastAsiaTheme="minorEastAsia"/>
              <w:noProof/>
              <w:lang w:eastAsia="fr-FR"/>
            </w:rPr>
          </w:pPr>
          <w:hyperlink w:anchor="_Toc1308100" w:history="1">
            <w:r w:rsidRPr="00771EBE">
              <w:rPr>
                <w:rStyle w:val="Lienhypertexte"/>
                <w:noProof/>
              </w:rPr>
              <w:t>3.</w:t>
            </w:r>
            <w:r>
              <w:rPr>
                <w:rFonts w:eastAsiaTheme="minorEastAsia"/>
                <w:noProof/>
                <w:lang w:eastAsia="fr-FR"/>
              </w:rPr>
              <w:tab/>
            </w:r>
            <w:r w:rsidRPr="00771EBE">
              <w:rPr>
                <w:rStyle w:val="Lienhypertexte"/>
                <w:noProof/>
              </w:rPr>
              <w:t>Interacteurs</w:t>
            </w:r>
            <w:r>
              <w:rPr>
                <w:noProof/>
                <w:webHidden/>
              </w:rPr>
              <w:tab/>
            </w:r>
            <w:r>
              <w:rPr>
                <w:noProof/>
                <w:webHidden/>
              </w:rPr>
              <w:fldChar w:fldCharType="begin"/>
            </w:r>
            <w:r>
              <w:rPr>
                <w:noProof/>
                <w:webHidden/>
              </w:rPr>
              <w:instrText xml:space="preserve"> PAGEREF _Toc1308100 \h </w:instrText>
            </w:r>
            <w:r>
              <w:rPr>
                <w:noProof/>
                <w:webHidden/>
              </w:rPr>
            </w:r>
            <w:r>
              <w:rPr>
                <w:noProof/>
                <w:webHidden/>
              </w:rPr>
              <w:fldChar w:fldCharType="separate"/>
            </w:r>
            <w:r w:rsidR="003402D2">
              <w:rPr>
                <w:noProof/>
                <w:webHidden/>
              </w:rPr>
              <w:t>9</w:t>
            </w:r>
            <w:r>
              <w:rPr>
                <w:noProof/>
                <w:webHidden/>
              </w:rPr>
              <w:fldChar w:fldCharType="end"/>
            </w:r>
          </w:hyperlink>
        </w:p>
        <w:p w14:paraId="1713837F" w14:textId="2C859117" w:rsidR="009318E0" w:rsidRDefault="009318E0">
          <w:pPr>
            <w:pStyle w:val="TM1"/>
            <w:tabs>
              <w:tab w:val="left" w:pos="440"/>
              <w:tab w:val="right" w:leader="dot" w:pos="10456"/>
            </w:tabs>
            <w:rPr>
              <w:rFonts w:eastAsiaTheme="minorEastAsia"/>
              <w:noProof/>
              <w:lang w:eastAsia="fr-FR"/>
            </w:rPr>
          </w:pPr>
          <w:hyperlink w:anchor="_Toc1308101" w:history="1">
            <w:r w:rsidRPr="00771EBE">
              <w:rPr>
                <w:rStyle w:val="Lienhypertexte"/>
                <w:noProof/>
              </w:rPr>
              <w:t>V.</w:t>
            </w:r>
            <w:r>
              <w:rPr>
                <w:rFonts w:eastAsiaTheme="minorEastAsia"/>
                <w:noProof/>
                <w:lang w:eastAsia="fr-FR"/>
              </w:rPr>
              <w:tab/>
            </w:r>
            <w:r w:rsidRPr="00771EBE">
              <w:rPr>
                <w:rStyle w:val="Lienhypertexte"/>
                <w:noProof/>
              </w:rPr>
              <w:t>Description fonctionnelle</w:t>
            </w:r>
            <w:r>
              <w:rPr>
                <w:noProof/>
                <w:webHidden/>
              </w:rPr>
              <w:tab/>
            </w:r>
            <w:r>
              <w:rPr>
                <w:noProof/>
                <w:webHidden/>
              </w:rPr>
              <w:fldChar w:fldCharType="begin"/>
            </w:r>
            <w:r>
              <w:rPr>
                <w:noProof/>
                <w:webHidden/>
              </w:rPr>
              <w:instrText xml:space="preserve"> PAGEREF _Toc1308101 \h </w:instrText>
            </w:r>
            <w:r>
              <w:rPr>
                <w:noProof/>
                <w:webHidden/>
              </w:rPr>
            </w:r>
            <w:r>
              <w:rPr>
                <w:noProof/>
                <w:webHidden/>
              </w:rPr>
              <w:fldChar w:fldCharType="separate"/>
            </w:r>
            <w:r w:rsidR="003402D2">
              <w:rPr>
                <w:noProof/>
                <w:webHidden/>
              </w:rPr>
              <w:t>9</w:t>
            </w:r>
            <w:r>
              <w:rPr>
                <w:noProof/>
                <w:webHidden/>
              </w:rPr>
              <w:fldChar w:fldCharType="end"/>
            </w:r>
          </w:hyperlink>
        </w:p>
        <w:p w14:paraId="62A86D96" w14:textId="17CCCC06" w:rsidR="009318E0" w:rsidRDefault="009318E0">
          <w:pPr>
            <w:pStyle w:val="TM2"/>
            <w:tabs>
              <w:tab w:val="left" w:pos="660"/>
              <w:tab w:val="right" w:leader="dot" w:pos="10456"/>
            </w:tabs>
            <w:rPr>
              <w:rFonts w:eastAsiaTheme="minorEastAsia"/>
              <w:noProof/>
              <w:lang w:eastAsia="fr-FR"/>
            </w:rPr>
          </w:pPr>
          <w:hyperlink w:anchor="_Toc1308102" w:history="1">
            <w:r w:rsidRPr="00771EBE">
              <w:rPr>
                <w:rStyle w:val="Lienhypertexte"/>
                <w:noProof/>
              </w:rPr>
              <w:t>1.</w:t>
            </w:r>
            <w:r>
              <w:rPr>
                <w:rFonts w:eastAsiaTheme="minorEastAsia"/>
                <w:noProof/>
                <w:lang w:eastAsia="fr-FR"/>
              </w:rPr>
              <w:tab/>
            </w:r>
            <w:r w:rsidRPr="00771EBE">
              <w:rPr>
                <w:rStyle w:val="Lienhypertexte"/>
                <w:noProof/>
              </w:rPr>
              <w:t>Définition des priorités</w:t>
            </w:r>
            <w:r>
              <w:rPr>
                <w:noProof/>
                <w:webHidden/>
              </w:rPr>
              <w:tab/>
            </w:r>
            <w:r>
              <w:rPr>
                <w:noProof/>
                <w:webHidden/>
              </w:rPr>
              <w:fldChar w:fldCharType="begin"/>
            </w:r>
            <w:r>
              <w:rPr>
                <w:noProof/>
                <w:webHidden/>
              </w:rPr>
              <w:instrText xml:space="preserve"> PAGEREF _Toc1308102 \h </w:instrText>
            </w:r>
            <w:r>
              <w:rPr>
                <w:noProof/>
                <w:webHidden/>
              </w:rPr>
            </w:r>
            <w:r>
              <w:rPr>
                <w:noProof/>
                <w:webHidden/>
              </w:rPr>
              <w:fldChar w:fldCharType="separate"/>
            </w:r>
            <w:r w:rsidR="003402D2">
              <w:rPr>
                <w:noProof/>
                <w:webHidden/>
              </w:rPr>
              <w:t>9</w:t>
            </w:r>
            <w:r>
              <w:rPr>
                <w:noProof/>
                <w:webHidden/>
              </w:rPr>
              <w:fldChar w:fldCharType="end"/>
            </w:r>
          </w:hyperlink>
        </w:p>
        <w:p w14:paraId="7280F426" w14:textId="0D4B3C24" w:rsidR="009318E0" w:rsidRDefault="009318E0">
          <w:pPr>
            <w:pStyle w:val="TM2"/>
            <w:tabs>
              <w:tab w:val="left" w:pos="660"/>
              <w:tab w:val="right" w:leader="dot" w:pos="10456"/>
            </w:tabs>
            <w:rPr>
              <w:rFonts w:eastAsiaTheme="minorEastAsia"/>
              <w:noProof/>
              <w:lang w:eastAsia="fr-FR"/>
            </w:rPr>
          </w:pPr>
          <w:hyperlink w:anchor="_Toc1308103" w:history="1">
            <w:r w:rsidRPr="00771EBE">
              <w:rPr>
                <w:rStyle w:val="Lienhypertexte"/>
                <w:noProof/>
              </w:rPr>
              <w:t>2.</w:t>
            </w:r>
            <w:r>
              <w:rPr>
                <w:rFonts w:eastAsiaTheme="minorEastAsia"/>
                <w:noProof/>
                <w:lang w:eastAsia="fr-FR"/>
              </w:rPr>
              <w:tab/>
            </w:r>
            <w:r w:rsidRPr="00771EBE">
              <w:rPr>
                <w:rStyle w:val="Lienhypertexte"/>
                <w:noProof/>
              </w:rPr>
              <w:t>Enoncé des fonctions de service et de leur importance</w:t>
            </w:r>
            <w:r>
              <w:rPr>
                <w:noProof/>
                <w:webHidden/>
              </w:rPr>
              <w:tab/>
            </w:r>
            <w:r>
              <w:rPr>
                <w:noProof/>
                <w:webHidden/>
              </w:rPr>
              <w:fldChar w:fldCharType="begin"/>
            </w:r>
            <w:r>
              <w:rPr>
                <w:noProof/>
                <w:webHidden/>
              </w:rPr>
              <w:instrText xml:space="preserve"> PAGEREF _Toc1308103 \h </w:instrText>
            </w:r>
            <w:r>
              <w:rPr>
                <w:noProof/>
                <w:webHidden/>
              </w:rPr>
            </w:r>
            <w:r>
              <w:rPr>
                <w:noProof/>
                <w:webHidden/>
              </w:rPr>
              <w:fldChar w:fldCharType="separate"/>
            </w:r>
            <w:r w:rsidR="003402D2">
              <w:rPr>
                <w:noProof/>
                <w:webHidden/>
              </w:rPr>
              <w:t>10</w:t>
            </w:r>
            <w:r>
              <w:rPr>
                <w:noProof/>
                <w:webHidden/>
              </w:rPr>
              <w:fldChar w:fldCharType="end"/>
            </w:r>
          </w:hyperlink>
        </w:p>
        <w:p w14:paraId="58233BC8" w14:textId="62352FA4" w:rsidR="009318E0" w:rsidRDefault="009318E0">
          <w:pPr>
            <w:pStyle w:val="TM2"/>
            <w:tabs>
              <w:tab w:val="left" w:pos="660"/>
              <w:tab w:val="right" w:leader="dot" w:pos="10456"/>
            </w:tabs>
            <w:rPr>
              <w:rFonts w:eastAsiaTheme="minorEastAsia"/>
              <w:noProof/>
              <w:lang w:eastAsia="fr-FR"/>
            </w:rPr>
          </w:pPr>
          <w:hyperlink w:anchor="_Toc1308104" w:history="1">
            <w:r w:rsidRPr="00771EBE">
              <w:rPr>
                <w:rStyle w:val="Lienhypertexte"/>
                <w:noProof/>
              </w:rPr>
              <w:t>3.</w:t>
            </w:r>
            <w:r>
              <w:rPr>
                <w:rFonts w:eastAsiaTheme="minorEastAsia"/>
                <w:noProof/>
                <w:lang w:eastAsia="fr-FR"/>
              </w:rPr>
              <w:tab/>
            </w:r>
            <w:r w:rsidRPr="00771EBE">
              <w:rPr>
                <w:rStyle w:val="Lienhypertexte"/>
                <w:noProof/>
              </w:rPr>
              <w:t>Caractérisation de chaque fonction</w:t>
            </w:r>
            <w:r>
              <w:rPr>
                <w:noProof/>
                <w:webHidden/>
              </w:rPr>
              <w:tab/>
            </w:r>
            <w:r>
              <w:rPr>
                <w:noProof/>
                <w:webHidden/>
              </w:rPr>
              <w:fldChar w:fldCharType="begin"/>
            </w:r>
            <w:r>
              <w:rPr>
                <w:noProof/>
                <w:webHidden/>
              </w:rPr>
              <w:instrText xml:space="preserve"> PAGEREF _Toc1308104 \h </w:instrText>
            </w:r>
            <w:r>
              <w:rPr>
                <w:noProof/>
                <w:webHidden/>
              </w:rPr>
            </w:r>
            <w:r>
              <w:rPr>
                <w:noProof/>
                <w:webHidden/>
              </w:rPr>
              <w:fldChar w:fldCharType="separate"/>
            </w:r>
            <w:r w:rsidR="003402D2">
              <w:rPr>
                <w:noProof/>
                <w:webHidden/>
              </w:rPr>
              <w:t>11</w:t>
            </w:r>
            <w:r>
              <w:rPr>
                <w:noProof/>
                <w:webHidden/>
              </w:rPr>
              <w:fldChar w:fldCharType="end"/>
            </w:r>
          </w:hyperlink>
        </w:p>
        <w:p w14:paraId="5AB949BC" w14:textId="789460CE" w:rsidR="009318E0" w:rsidRDefault="009318E0">
          <w:pPr>
            <w:pStyle w:val="TM2"/>
            <w:tabs>
              <w:tab w:val="left" w:pos="660"/>
              <w:tab w:val="right" w:leader="dot" w:pos="10456"/>
            </w:tabs>
            <w:rPr>
              <w:rFonts w:eastAsiaTheme="minorEastAsia"/>
              <w:noProof/>
              <w:lang w:eastAsia="fr-FR"/>
            </w:rPr>
          </w:pPr>
          <w:hyperlink w:anchor="_Toc1308105" w:history="1">
            <w:r w:rsidRPr="00771EBE">
              <w:rPr>
                <w:rStyle w:val="Lienhypertexte"/>
                <w:noProof/>
              </w:rPr>
              <w:t>4.</w:t>
            </w:r>
            <w:r>
              <w:rPr>
                <w:rFonts w:eastAsiaTheme="minorEastAsia"/>
                <w:noProof/>
                <w:lang w:eastAsia="fr-FR"/>
              </w:rPr>
              <w:tab/>
            </w:r>
            <w:r w:rsidRPr="00771EBE">
              <w:rPr>
                <w:rStyle w:val="Lienhypertexte"/>
                <w:noProof/>
              </w:rPr>
              <w:t>Critères d’appréciation généraux</w:t>
            </w:r>
            <w:r>
              <w:rPr>
                <w:noProof/>
                <w:webHidden/>
              </w:rPr>
              <w:tab/>
            </w:r>
            <w:r>
              <w:rPr>
                <w:noProof/>
                <w:webHidden/>
              </w:rPr>
              <w:fldChar w:fldCharType="begin"/>
            </w:r>
            <w:r>
              <w:rPr>
                <w:noProof/>
                <w:webHidden/>
              </w:rPr>
              <w:instrText xml:space="preserve"> PAGEREF _Toc1308105 \h </w:instrText>
            </w:r>
            <w:r>
              <w:rPr>
                <w:noProof/>
                <w:webHidden/>
              </w:rPr>
            </w:r>
            <w:r>
              <w:rPr>
                <w:noProof/>
                <w:webHidden/>
              </w:rPr>
              <w:fldChar w:fldCharType="separate"/>
            </w:r>
            <w:r w:rsidR="003402D2">
              <w:rPr>
                <w:noProof/>
                <w:webHidden/>
              </w:rPr>
              <w:t>23</w:t>
            </w:r>
            <w:r>
              <w:rPr>
                <w:noProof/>
                <w:webHidden/>
              </w:rPr>
              <w:fldChar w:fldCharType="end"/>
            </w:r>
          </w:hyperlink>
        </w:p>
        <w:p w14:paraId="114EA896" w14:textId="523BAE0A" w:rsidR="009318E0" w:rsidRDefault="009318E0">
          <w:pPr>
            <w:pStyle w:val="TM1"/>
            <w:tabs>
              <w:tab w:val="left" w:pos="660"/>
              <w:tab w:val="right" w:leader="dot" w:pos="10456"/>
            </w:tabs>
            <w:rPr>
              <w:rFonts w:eastAsiaTheme="minorEastAsia"/>
              <w:noProof/>
              <w:lang w:eastAsia="fr-FR"/>
            </w:rPr>
          </w:pPr>
          <w:hyperlink w:anchor="_Toc1308106" w:history="1">
            <w:r w:rsidRPr="00771EBE">
              <w:rPr>
                <w:rStyle w:val="Lienhypertexte"/>
                <w:noProof/>
              </w:rPr>
              <w:t>VI.</w:t>
            </w:r>
            <w:r>
              <w:rPr>
                <w:rFonts w:eastAsiaTheme="minorEastAsia"/>
                <w:noProof/>
                <w:lang w:eastAsia="fr-FR"/>
              </w:rPr>
              <w:tab/>
            </w:r>
            <w:r w:rsidRPr="00771EBE">
              <w:rPr>
                <w:rStyle w:val="Lienhypertexte"/>
                <w:noProof/>
              </w:rPr>
              <w:t>Impositions générales</w:t>
            </w:r>
            <w:r>
              <w:rPr>
                <w:noProof/>
                <w:webHidden/>
              </w:rPr>
              <w:tab/>
            </w:r>
            <w:r>
              <w:rPr>
                <w:noProof/>
                <w:webHidden/>
              </w:rPr>
              <w:fldChar w:fldCharType="begin"/>
            </w:r>
            <w:r>
              <w:rPr>
                <w:noProof/>
                <w:webHidden/>
              </w:rPr>
              <w:instrText xml:space="preserve"> PAGEREF _Toc1308106 \h </w:instrText>
            </w:r>
            <w:r>
              <w:rPr>
                <w:noProof/>
                <w:webHidden/>
              </w:rPr>
            </w:r>
            <w:r>
              <w:rPr>
                <w:noProof/>
                <w:webHidden/>
              </w:rPr>
              <w:fldChar w:fldCharType="separate"/>
            </w:r>
            <w:r w:rsidR="003402D2">
              <w:rPr>
                <w:noProof/>
                <w:webHidden/>
              </w:rPr>
              <w:t>23</w:t>
            </w:r>
            <w:r>
              <w:rPr>
                <w:noProof/>
                <w:webHidden/>
              </w:rPr>
              <w:fldChar w:fldCharType="end"/>
            </w:r>
          </w:hyperlink>
        </w:p>
        <w:p w14:paraId="11A63C91" w14:textId="04F94E52" w:rsidR="009318E0" w:rsidRDefault="009318E0">
          <w:pPr>
            <w:pStyle w:val="TM2"/>
            <w:tabs>
              <w:tab w:val="left" w:pos="660"/>
              <w:tab w:val="right" w:leader="dot" w:pos="10456"/>
            </w:tabs>
            <w:rPr>
              <w:rFonts w:eastAsiaTheme="minorEastAsia"/>
              <w:noProof/>
              <w:lang w:eastAsia="fr-FR"/>
            </w:rPr>
          </w:pPr>
          <w:hyperlink w:anchor="_Toc1308107" w:history="1">
            <w:r w:rsidRPr="00771EBE">
              <w:rPr>
                <w:rStyle w:val="Lienhypertexte"/>
                <w:noProof/>
              </w:rPr>
              <w:t>1.</w:t>
            </w:r>
            <w:r>
              <w:rPr>
                <w:rFonts w:eastAsiaTheme="minorEastAsia"/>
                <w:noProof/>
                <w:lang w:eastAsia="fr-FR"/>
              </w:rPr>
              <w:tab/>
            </w:r>
            <w:r w:rsidRPr="00771EBE">
              <w:rPr>
                <w:rStyle w:val="Lienhypertexte"/>
                <w:noProof/>
              </w:rPr>
              <w:t>Règlements et normes</w:t>
            </w:r>
            <w:r>
              <w:rPr>
                <w:noProof/>
                <w:webHidden/>
              </w:rPr>
              <w:tab/>
            </w:r>
            <w:r>
              <w:rPr>
                <w:noProof/>
                <w:webHidden/>
              </w:rPr>
              <w:fldChar w:fldCharType="begin"/>
            </w:r>
            <w:r>
              <w:rPr>
                <w:noProof/>
                <w:webHidden/>
              </w:rPr>
              <w:instrText xml:space="preserve"> PAGEREF _Toc1308107 \h </w:instrText>
            </w:r>
            <w:r>
              <w:rPr>
                <w:noProof/>
                <w:webHidden/>
              </w:rPr>
            </w:r>
            <w:r>
              <w:rPr>
                <w:noProof/>
                <w:webHidden/>
              </w:rPr>
              <w:fldChar w:fldCharType="separate"/>
            </w:r>
            <w:r w:rsidR="003402D2">
              <w:rPr>
                <w:noProof/>
                <w:webHidden/>
              </w:rPr>
              <w:t>23</w:t>
            </w:r>
            <w:r>
              <w:rPr>
                <w:noProof/>
                <w:webHidden/>
              </w:rPr>
              <w:fldChar w:fldCharType="end"/>
            </w:r>
          </w:hyperlink>
        </w:p>
        <w:p w14:paraId="316E3163" w14:textId="4FDC7715" w:rsidR="009318E0" w:rsidRDefault="009318E0">
          <w:pPr>
            <w:pStyle w:val="TM2"/>
            <w:tabs>
              <w:tab w:val="left" w:pos="660"/>
              <w:tab w:val="right" w:leader="dot" w:pos="10456"/>
            </w:tabs>
            <w:rPr>
              <w:rFonts w:eastAsiaTheme="minorEastAsia"/>
              <w:noProof/>
              <w:lang w:eastAsia="fr-FR"/>
            </w:rPr>
          </w:pPr>
          <w:hyperlink w:anchor="_Toc1308108" w:history="1">
            <w:r w:rsidRPr="00771EBE">
              <w:rPr>
                <w:rStyle w:val="Lienhypertexte"/>
                <w:noProof/>
              </w:rPr>
              <w:t>2.</w:t>
            </w:r>
            <w:r>
              <w:rPr>
                <w:rFonts w:eastAsiaTheme="minorEastAsia"/>
                <w:noProof/>
                <w:lang w:eastAsia="fr-FR"/>
              </w:rPr>
              <w:tab/>
            </w:r>
            <w:r w:rsidRPr="00771EBE">
              <w:rPr>
                <w:rStyle w:val="Lienhypertexte"/>
                <w:noProof/>
              </w:rPr>
              <w:t>Imposition de conception</w:t>
            </w:r>
            <w:r>
              <w:rPr>
                <w:noProof/>
                <w:webHidden/>
              </w:rPr>
              <w:tab/>
            </w:r>
            <w:r>
              <w:rPr>
                <w:noProof/>
                <w:webHidden/>
              </w:rPr>
              <w:fldChar w:fldCharType="begin"/>
            </w:r>
            <w:r>
              <w:rPr>
                <w:noProof/>
                <w:webHidden/>
              </w:rPr>
              <w:instrText xml:space="preserve"> PAGEREF _Toc1308108 \h </w:instrText>
            </w:r>
            <w:r>
              <w:rPr>
                <w:noProof/>
                <w:webHidden/>
              </w:rPr>
            </w:r>
            <w:r>
              <w:rPr>
                <w:noProof/>
                <w:webHidden/>
              </w:rPr>
              <w:fldChar w:fldCharType="separate"/>
            </w:r>
            <w:r w:rsidR="003402D2">
              <w:rPr>
                <w:noProof/>
                <w:webHidden/>
              </w:rPr>
              <w:t>24</w:t>
            </w:r>
            <w:r>
              <w:rPr>
                <w:noProof/>
                <w:webHidden/>
              </w:rPr>
              <w:fldChar w:fldCharType="end"/>
            </w:r>
          </w:hyperlink>
        </w:p>
        <w:p w14:paraId="6B696AF8" w14:textId="12E4C670" w:rsidR="009318E0" w:rsidRDefault="009318E0">
          <w:pPr>
            <w:pStyle w:val="TM1"/>
            <w:tabs>
              <w:tab w:val="left" w:pos="660"/>
              <w:tab w:val="right" w:leader="dot" w:pos="10456"/>
            </w:tabs>
            <w:rPr>
              <w:rFonts w:eastAsiaTheme="minorEastAsia"/>
              <w:noProof/>
              <w:lang w:eastAsia="fr-FR"/>
            </w:rPr>
          </w:pPr>
          <w:hyperlink w:anchor="_Toc1308109" w:history="1">
            <w:r w:rsidRPr="00771EBE">
              <w:rPr>
                <w:rStyle w:val="Lienhypertexte"/>
                <w:noProof/>
              </w:rPr>
              <w:t>VII.</w:t>
            </w:r>
            <w:r>
              <w:rPr>
                <w:rFonts w:eastAsiaTheme="minorEastAsia"/>
                <w:noProof/>
                <w:lang w:eastAsia="fr-FR"/>
              </w:rPr>
              <w:tab/>
            </w:r>
            <w:r w:rsidRPr="00771EBE">
              <w:rPr>
                <w:rStyle w:val="Lienhypertexte"/>
                <w:noProof/>
              </w:rPr>
              <w:t>Appel à variantes</w:t>
            </w:r>
            <w:r>
              <w:rPr>
                <w:noProof/>
                <w:webHidden/>
              </w:rPr>
              <w:tab/>
            </w:r>
            <w:r>
              <w:rPr>
                <w:noProof/>
                <w:webHidden/>
              </w:rPr>
              <w:fldChar w:fldCharType="begin"/>
            </w:r>
            <w:r>
              <w:rPr>
                <w:noProof/>
                <w:webHidden/>
              </w:rPr>
              <w:instrText xml:space="preserve"> PAGEREF _Toc1308109 \h </w:instrText>
            </w:r>
            <w:r>
              <w:rPr>
                <w:noProof/>
                <w:webHidden/>
              </w:rPr>
            </w:r>
            <w:r>
              <w:rPr>
                <w:noProof/>
                <w:webHidden/>
              </w:rPr>
              <w:fldChar w:fldCharType="separate"/>
            </w:r>
            <w:r w:rsidR="003402D2">
              <w:rPr>
                <w:noProof/>
                <w:webHidden/>
              </w:rPr>
              <w:t>24</w:t>
            </w:r>
            <w:r>
              <w:rPr>
                <w:noProof/>
                <w:webHidden/>
              </w:rPr>
              <w:fldChar w:fldCharType="end"/>
            </w:r>
          </w:hyperlink>
        </w:p>
        <w:p w14:paraId="46399B4A" w14:textId="4D1546E0" w:rsidR="009318E0" w:rsidRDefault="009318E0">
          <w:pPr>
            <w:pStyle w:val="TM1"/>
            <w:tabs>
              <w:tab w:val="left" w:pos="660"/>
              <w:tab w:val="right" w:leader="dot" w:pos="10456"/>
            </w:tabs>
            <w:rPr>
              <w:rFonts w:eastAsiaTheme="minorEastAsia"/>
              <w:noProof/>
              <w:lang w:eastAsia="fr-FR"/>
            </w:rPr>
          </w:pPr>
          <w:hyperlink w:anchor="_Toc1308110" w:history="1">
            <w:r w:rsidRPr="00771EBE">
              <w:rPr>
                <w:rStyle w:val="Lienhypertexte"/>
                <w:noProof/>
              </w:rPr>
              <w:t>VIII.</w:t>
            </w:r>
            <w:r>
              <w:rPr>
                <w:rFonts w:eastAsiaTheme="minorEastAsia"/>
                <w:noProof/>
                <w:lang w:eastAsia="fr-FR"/>
              </w:rPr>
              <w:tab/>
            </w:r>
            <w:r w:rsidRPr="00771EBE">
              <w:rPr>
                <w:rStyle w:val="Lienhypertexte"/>
                <w:noProof/>
              </w:rPr>
              <w:t>Cadre de réponse</w:t>
            </w:r>
            <w:r>
              <w:rPr>
                <w:noProof/>
                <w:webHidden/>
              </w:rPr>
              <w:tab/>
            </w:r>
            <w:r>
              <w:rPr>
                <w:noProof/>
                <w:webHidden/>
              </w:rPr>
              <w:fldChar w:fldCharType="begin"/>
            </w:r>
            <w:r>
              <w:rPr>
                <w:noProof/>
                <w:webHidden/>
              </w:rPr>
              <w:instrText xml:space="preserve"> PAGEREF _Toc1308110 \h </w:instrText>
            </w:r>
            <w:r>
              <w:rPr>
                <w:noProof/>
                <w:webHidden/>
              </w:rPr>
            </w:r>
            <w:r>
              <w:rPr>
                <w:noProof/>
                <w:webHidden/>
              </w:rPr>
              <w:fldChar w:fldCharType="separate"/>
            </w:r>
            <w:r w:rsidR="003402D2">
              <w:rPr>
                <w:noProof/>
                <w:webHidden/>
              </w:rPr>
              <w:t>25</w:t>
            </w:r>
            <w:r>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bookmarkStart w:id="0" w:name="_GoBack"/>
      <w:bookmarkEnd w:id="0"/>
    </w:p>
    <w:p w14:paraId="40089F2E" w14:textId="77777777" w:rsidR="00886C2D" w:rsidRDefault="00DD3D8A" w:rsidP="00DD3D8A">
      <w:pPr>
        <w:pStyle w:val="Titre1"/>
      </w:pPr>
      <w:bookmarkStart w:id="1" w:name="_Toc1308085"/>
      <w:r>
        <w:lastRenderedPageBreak/>
        <w:t>Objet du document</w:t>
      </w:r>
      <w:bookmarkEnd w:id="1"/>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2" w:name="_Toc1308086"/>
      <w:r>
        <w:t>Documentation et terminologie</w:t>
      </w:r>
      <w:bookmarkEnd w:id="2"/>
    </w:p>
    <w:p w14:paraId="473DCD12" w14:textId="77777777" w:rsidR="00DD3D8A" w:rsidRPr="00DD3D8A" w:rsidRDefault="00DD3D8A" w:rsidP="00DD3D8A"/>
    <w:p w14:paraId="28F10B39" w14:textId="77777777" w:rsidR="00DD3D8A" w:rsidRDefault="00DD3D8A" w:rsidP="00DD3D8A">
      <w:pPr>
        <w:pStyle w:val="Titre2"/>
      </w:pPr>
      <w:bookmarkStart w:id="3" w:name="_Toc1308087"/>
      <w:r>
        <w:t>Références Documentaires</w:t>
      </w:r>
      <w:bookmarkEnd w:id="3"/>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4"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4"/>
    </w:tbl>
    <w:p w14:paraId="6B498E4F" w14:textId="77777777" w:rsidR="00DD3D8A" w:rsidRDefault="00DD3D8A" w:rsidP="00DD3D8A"/>
    <w:p w14:paraId="7FE558D1" w14:textId="77777777" w:rsidR="00DD3D8A" w:rsidRDefault="00DD3D8A" w:rsidP="00DD3D8A">
      <w:pPr>
        <w:pStyle w:val="Titre2"/>
      </w:pPr>
      <w:bookmarkStart w:id="5" w:name="_Toc1308088"/>
      <w:r>
        <w:t>Terminologie / Glossaire</w:t>
      </w:r>
      <w:bookmarkEnd w:id="5"/>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Default="00966DBB" w:rsidP="009B3C31">
            <w:r>
              <w:t>SGBD</w:t>
            </w:r>
          </w:p>
        </w:tc>
        <w:tc>
          <w:tcPr>
            <w:tcW w:w="7059" w:type="dxa"/>
          </w:tcPr>
          <w:p w14:paraId="45706B54" w14:textId="327B050F" w:rsidR="00966DBB" w:rsidRDefault="00966DBB"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6" w:name="_Toc1308089"/>
      <w:r>
        <w:lastRenderedPageBreak/>
        <w:t>Contexte et motivation de l’action</w:t>
      </w:r>
      <w:bookmarkEnd w:id="6"/>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7" w:name="_Toc1308090"/>
      <w:r>
        <w:t>Gestion des stocks</w:t>
      </w:r>
      <w:bookmarkEnd w:id="7"/>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8" w:name="_Toc1308091"/>
      <w:r>
        <w:lastRenderedPageBreak/>
        <w:t>Gestion financière</w:t>
      </w:r>
      <w:bookmarkEnd w:id="8"/>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9" w:name="_Toc1308092"/>
      <w:r>
        <w:t xml:space="preserve">Interaction </w:t>
      </w:r>
      <w:r w:rsidR="00C879E8">
        <w:t>Utilisateur</w:t>
      </w:r>
      <w:bookmarkEnd w:id="9"/>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10" w:name="_Toc1308093"/>
      <w:r>
        <w:lastRenderedPageBreak/>
        <w:t>Rôle et utilisation</w:t>
      </w:r>
      <w:bookmarkEnd w:id="10"/>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1" w:name="_Toc1308094"/>
      <w:r w:rsidRPr="00EA0C86">
        <w:t>Besoins essentiels et principes choisis</w:t>
      </w:r>
      <w:bookmarkEnd w:id="11"/>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2" w:name="_Toc1308095"/>
      <w:r>
        <w:lastRenderedPageBreak/>
        <w:t>Profil de vie</w:t>
      </w:r>
      <w:bookmarkEnd w:id="12"/>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3" w:name="_Toc1308096"/>
      <w:r>
        <w:t>Phase A : Installation</w:t>
      </w:r>
      <w:bookmarkEnd w:id="13"/>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4" w:name="_Toc1308097"/>
      <w:r>
        <w:t>Phase B : Initialisation des données</w:t>
      </w:r>
      <w:bookmarkEnd w:id="14"/>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5" w:name="_Toc1308098"/>
      <w:r>
        <w:t>Phase C : tests</w:t>
      </w:r>
      <w:bookmarkEnd w:id="15"/>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6" w:name="_Toc1308099"/>
      <w:r>
        <w:t>Phase D : production</w:t>
      </w:r>
      <w:bookmarkEnd w:id="16"/>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7" w:name="_Toc1308100"/>
      <w:r>
        <w:lastRenderedPageBreak/>
        <w:t>Int</w:t>
      </w:r>
      <w:r w:rsidR="00020E8C">
        <w:t>e</w:t>
      </w:r>
      <w:r>
        <w:t>racteurs</w:t>
      </w:r>
      <w:bookmarkEnd w:id="17"/>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8" w:name="_Toc1308101"/>
      <w:r>
        <w:t>Description fonctionnelle</w:t>
      </w:r>
      <w:bookmarkEnd w:id="18"/>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9" w:name="_Toc1308102"/>
      <w:r>
        <w:t>Définition des priorités</w:t>
      </w:r>
      <w:bookmarkEnd w:id="19"/>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20" w:name="_Toc1308103"/>
      <w:r w:rsidRPr="00CD2C07">
        <w:lastRenderedPageBreak/>
        <w:t>Enoncé des fonctions de service et de leur importance</w:t>
      </w:r>
      <w:bookmarkEnd w:id="20"/>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1" w:name="_Toc1308104"/>
      <w:r>
        <w:lastRenderedPageBreak/>
        <w:t>Caractérisation de chaque fonction</w:t>
      </w:r>
      <w:bookmarkEnd w:id="21"/>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 xml:space="preserve">Un bouton de décrémentation de la quantité </w:t>
            </w:r>
            <w:r>
              <w:t>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2" w:name="_Hlk717552"/>
      <w:bookmarkStart w:id="23" w:name="_Toc1308105"/>
      <w:r>
        <w:lastRenderedPageBreak/>
        <w:t>Critères d’appréciation généraux</w:t>
      </w:r>
      <w:bookmarkEnd w:id="23"/>
    </w:p>
    <w:bookmarkEnd w:id="22"/>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4" w:name="_Toc1308106"/>
      <w:r>
        <w:t>Impositions générales</w:t>
      </w:r>
      <w:bookmarkEnd w:id="24"/>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5" w:name="_Toc1308107"/>
      <w:r w:rsidRPr="00745A89">
        <w:t>Règlements et normes</w:t>
      </w:r>
      <w:bookmarkEnd w:id="25"/>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6" w:name="_Toc1308108"/>
      <w:r>
        <w:t>Imposition de conception</w:t>
      </w:r>
      <w:bookmarkEnd w:id="26"/>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7" w:name="_Toc1308109"/>
      <w:r>
        <w:t>Appel à variantes</w:t>
      </w:r>
      <w:bookmarkEnd w:id="27"/>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8" w:name="_Toc1308110"/>
      <w:r>
        <w:lastRenderedPageBreak/>
        <w:t>Cadre de réponse</w:t>
      </w:r>
      <w:bookmarkEnd w:id="28"/>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9C0B" w14:textId="77777777" w:rsidR="00A160F5" w:rsidRDefault="00A160F5" w:rsidP="009969E1">
      <w:pPr>
        <w:spacing w:after="0" w:line="240" w:lineRule="auto"/>
      </w:pPr>
      <w:r>
        <w:separator/>
      </w:r>
    </w:p>
  </w:endnote>
  <w:endnote w:type="continuationSeparator" w:id="0">
    <w:p w14:paraId="48269604" w14:textId="77777777" w:rsidR="00A160F5" w:rsidRDefault="00A160F5"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CC47C2" w14:paraId="0BF22ED6" w14:textId="77777777" w:rsidTr="00B12681">
      <w:trPr>
        <w:trHeight w:val="386"/>
      </w:trPr>
      <w:tc>
        <w:tcPr>
          <w:tcW w:w="1764" w:type="dxa"/>
          <w:vMerge w:val="restart"/>
        </w:tcPr>
        <w:p w14:paraId="56B6217D" w14:textId="77777777" w:rsidR="00CC47C2" w:rsidRDefault="00CC47C2"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CC47C2" w:rsidRDefault="00CC47C2" w:rsidP="00751268">
          <w:pPr>
            <w:pStyle w:val="Pieddepage"/>
            <w:ind w:left="-284" w:right="-307"/>
            <w:jc w:val="center"/>
          </w:pPr>
          <w:r w:rsidRPr="00751268">
            <w:rPr>
              <w:color w:val="4472C4" w:themeColor="accent1"/>
            </w:rPr>
            <w:t>Projet</w:t>
          </w:r>
        </w:p>
      </w:tc>
      <w:tc>
        <w:tcPr>
          <w:tcW w:w="1765" w:type="dxa"/>
        </w:tcPr>
        <w:p w14:paraId="4F219D66" w14:textId="77777777" w:rsidR="00CC47C2" w:rsidRPr="00751268" w:rsidRDefault="00CC47C2"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CC47C2" w:rsidRPr="00751268" w:rsidRDefault="00CC47C2"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CC47C2" w:rsidRPr="00751268" w:rsidRDefault="00CC47C2"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CC47C2" w:rsidRDefault="00CC47C2"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CC47C2" w14:paraId="411362C9" w14:textId="77777777" w:rsidTr="00B12681">
      <w:trPr>
        <w:trHeight w:val="386"/>
      </w:trPr>
      <w:tc>
        <w:tcPr>
          <w:tcW w:w="1764" w:type="dxa"/>
          <w:vMerge/>
        </w:tcPr>
        <w:p w14:paraId="64FB83FC" w14:textId="77777777" w:rsidR="00CC47C2" w:rsidRDefault="00CC47C2" w:rsidP="00751268">
          <w:pPr>
            <w:pStyle w:val="Pieddepage"/>
            <w:ind w:left="-284" w:right="-307"/>
          </w:pPr>
        </w:p>
      </w:tc>
      <w:tc>
        <w:tcPr>
          <w:tcW w:w="1764" w:type="dxa"/>
        </w:tcPr>
        <w:p w14:paraId="200335E3" w14:textId="77777777" w:rsidR="00CC47C2" w:rsidRDefault="00CC47C2" w:rsidP="00751268">
          <w:pPr>
            <w:pStyle w:val="Pieddepage"/>
            <w:ind w:left="-284" w:right="-307"/>
            <w:jc w:val="center"/>
          </w:pPr>
          <w:r>
            <w:t>GSA</w:t>
          </w:r>
        </w:p>
      </w:tc>
      <w:tc>
        <w:tcPr>
          <w:tcW w:w="1765" w:type="dxa"/>
        </w:tcPr>
        <w:p w14:paraId="3637090D" w14:textId="77777777" w:rsidR="00CC47C2" w:rsidRDefault="00CC47C2" w:rsidP="00751268">
          <w:pPr>
            <w:pStyle w:val="Pieddepage"/>
            <w:ind w:left="-284" w:right="-307"/>
            <w:jc w:val="center"/>
          </w:pPr>
          <w:r>
            <w:t>CDCF</w:t>
          </w:r>
        </w:p>
      </w:tc>
      <w:tc>
        <w:tcPr>
          <w:tcW w:w="1765" w:type="dxa"/>
        </w:tcPr>
        <w:p w14:paraId="78630B6A" w14:textId="46AF909A" w:rsidR="00CC47C2" w:rsidRDefault="00CC47C2" w:rsidP="00751268">
          <w:pPr>
            <w:pStyle w:val="Pieddepage"/>
            <w:ind w:left="-284" w:right="-307"/>
            <w:jc w:val="center"/>
          </w:pPr>
          <w:r>
            <w:t>1.</w:t>
          </w:r>
          <w:r w:rsidR="00E57F1B">
            <w:t>3</w:t>
          </w:r>
        </w:p>
      </w:tc>
      <w:tc>
        <w:tcPr>
          <w:tcW w:w="1765" w:type="dxa"/>
        </w:tcPr>
        <w:p w14:paraId="0AB9DD98" w14:textId="57B98EC5" w:rsidR="00CC47C2" w:rsidRDefault="00CC47C2" w:rsidP="00751268">
          <w:pPr>
            <w:pStyle w:val="Pieddepage"/>
            <w:ind w:left="-284" w:right="-307"/>
            <w:jc w:val="center"/>
          </w:pPr>
          <w:r>
            <w:rPr>
              <w:noProof/>
            </w:rPr>
            <w:t>1</w:t>
          </w:r>
          <w:r w:rsidR="00E57F1B">
            <w:rPr>
              <w:noProof/>
            </w:rPr>
            <w:t>7</w:t>
          </w:r>
          <w:r>
            <w:rPr>
              <w:noProof/>
            </w:rPr>
            <w:t>/02/2019</w:t>
          </w:r>
        </w:p>
      </w:tc>
      <w:tc>
        <w:tcPr>
          <w:tcW w:w="1662" w:type="dxa"/>
          <w:vMerge/>
        </w:tcPr>
        <w:p w14:paraId="1776BBE8" w14:textId="77777777" w:rsidR="00CC47C2" w:rsidRDefault="00CC47C2" w:rsidP="00751268">
          <w:pPr>
            <w:pStyle w:val="Pieddepage"/>
            <w:ind w:left="-284" w:right="-307"/>
          </w:pPr>
        </w:p>
      </w:tc>
    </w:tr>
  </w:tbl>
  <w:p w14:paraId="1FC19901" w14:textId="77777777" w:rsidR="00CC47C2" w:rsidRDefault="00CC47C2"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E37AF" w14:textId="77777777" w:rsidR="00A160F5" w:rsidRDefault="00A160F5" w:rsidP="009969E1">
      <w:pPr>
        <w:spacing w:after="0" w:line="240" w:lineRule="auto"/>
      </w:pPr>
      <w:r>
        <w:separator/>
      </w:r>
    </w:p>
  </w:footnote>
  <w:footnote w:type="continuationSeparator" w:id="0">
    <w:p w14:paraId="017A6EF8" w14:textId="77777777" w:rsidR="00A160F5" w:rsidRDefault="00A160F5"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02D2"/>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2F5B"/>
    <w:rsid w:val="00455711"/>
    <w:rsid w:val="004557B3"/>
    <w:rsid w:val="00470BDD"/>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66DBB"/>
    <w:rsid w:val="00970CA4"/>
    <w:rsid w:val="0098494F"/>
    <w:rsid w:val="009969E1"/>
    <w:rsid w:val="009B3C31"/>
    <w:rsid w:val="009C269D"/>
    <w:rsid w:val="009C6A28"/>
    <w:rsid w:val="009C7247"/>
    <w:rsid w:val="009D52E3"/>
    <w:rsid w:val="009F0BA3"/>
    <w:rsid w:val="009F16A0"/>
    <w:rsid w:val="00A13D21"/>
    <w:rsid w:val="00A160F5"/>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D9B5C-F919-4E25-94C6-6F28ACBE3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5639</Words>
  <Characters>31020</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166</cp:revision>
  <cp:lastPrinted>2019-02-17T14:42:00Z</cp:lastPrinted>
  <dcterms:created xsi:type="dcterms:W3CDTF">2019-01-30T15:17:00Z</dcterms:created>
  <dcterms:modified xsi:type="dcterms:W3CDTF">2019-02-17T16:26:00Z</dcterms:modified>
</cp:coreProperties>
</file>