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Projet : 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Gestion des Stocks d’Anticorps (GSA)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-8254</wp:posOffset>
                  </wp:positionV>
                  <wp:extent cx="1492250" cy="709632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240" w:before="12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Compte rendu de la réunion du 13/02/2019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Ref doc : CR03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 : 1.0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Statut : non approuvé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after="12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Ordre du jour 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du 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ahier des charges fonctionnel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Peaufinement des fonctionnalités de service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l’application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1"/>
        <w:gridCol w:w="914"/>
        <w:gridCol w:w="3215"/>
        <w:gridCol w:w="1500"/>
        <w:gridCol w:w="1701"/>
        <w:gridCol w:w="1111"/>
        <w:tblGridChange w:id="0">
          <w:tblGrid>
            <w:gridCol w:w="2021"/>
            <w:gridCol w:w="914"/>
            <w:gridCol w:w="3215"/>
            <w:gridCol w:w="1500"/>
            <w:gridCol w:w="1701"/>
            <w:gridCol w:w="1111"/>
          </w:tblGrid>
        </w:tblGridChange>
      </w:tblGrid>
      <w:tr>
        <w:tc>
          <w:tcPr>
            <w:gridSpan w:val="6"/>
            <w:shd w:fill="8eaadb" w:val="clear"/>
          </w:tcPr>
          <w:p w:rsidR="00000000" w:rsidDel="00000000" w:rsidP="00000000" w:rsidRDefault="00000000" w:rsidRPr="00000000" w14:paraId="00000013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Liste des participants au groupe projet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Initiales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Appartenance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Qualité/Rôle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Présence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Magali Contensin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magali.contensin@univ-amu.fr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IBDM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Responsable du service développement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Mariana Andujar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mariana.andujar@univ-amu.fr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IBDM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Responsable adjointe du service développement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Pierre Vincent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pierre.vincent.1@etu.univ-amu.fr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Mohamed Siraj Achabbak 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SA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mohamed-siraj.achabbak@etu.univ-amu.fr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Ayoub El Yousfi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ayoub.elyousfi@etu.univ-amu.fr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Youssef Jellab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YJ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youssef.jellab@etu.univ-amu.fr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Joël Forward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JF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joel.forward@etu.univ-amu.fr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Université Aix-Marseille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Développeur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49">
      <w:pPr>
        <w:jc w:val="right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 = présent, A = absent, E = excusé</w:t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2747"/>
        <w:gridCol w:w="4224"/>
        <w:tblGridChange w:id="0">
          <w:tblGrid>
            <w:gridCol w:w="3485"/>
            <w:gridCol w:w="2747"/>
            <w:gridCol w:w="4224"/>
          </w:tblGrid>
        </w:tblGridChange>
      </w:tblGrid>
      <w:tr>
        <w:tc>
          <w:tcPr>
            <w:gridSpan w:val="3"/>
            <w:shd w:fill="8eaadb" w:val="clear"/>
          </w:tcPr>
          <w:p w:rsidR="00000000" w:rsidDel="00000000" w:rsidP="00000000" w:rsidRDefault="00000000" w:rsidRPr="00000000" w14:paraId="0000004A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Liste de diffusion du document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Destinataire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Version(s) diffusée(s)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de diffusion de la dernière version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03/03/2019</w:t>
            </w:r>
          </w:p>
        </w:tc>
      </w:tr>
      <w:tr>
        <w:tc>
          <w:tcPr>
            <w:shd w:fill="dd8383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Restriction de diffusion</w:t>
            </w:r>
          </w:p>
        </w:tc>
        <w:tc>
          <w:tcPr>
            <w:gridSpan w:val="2"/>
            <w:shd w:fill="dd8383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Ce document ne doit pas être copié ou diffusé à un tiers hors de la liste de diffusion sans l’accord du chef de projet MOA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2"/>
        <w:gridCol w:w="1465"/>
        <w:gridCol w:w="1493"/>
        <w:gridCol w:w="1487"/>
        <w:gridCol w:w="1472"/>
        <w:gridCol w:w="1494"/>
        <w:gridCol w:w="1583"/>
        <w:tblGridChange w:id="0">
          <w:tblGrid>
            <w:gridCol w:w="1462"/>
            <w:gridCol w:w="1465"/>
            <w:gridCol w:w="1493"/>
            <w:gridCol w:w="1487"/>
            <w:gridCol w:w="1472"/>
            <w:gridCol w:w="1494"/>
            <w:gridCol w:w="1583"/>
          </w:tblGrid>
        </w:tblGridChange>
      </w:tblGrid>
      <w:tr>
        <w:tc>
          <w:tcPr>
            <w:gridSpan w:val="7"/>
            <w:shd w:fill="8eaadb" w:val="clea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Historique des révisions du document</w:t>
            </w:r>
          </w:p>
        </w:tc>
      </w:tr>
      <w:tr>
        <w:tc>
          <w:tcPr>
            <w:shd w:fill="8eaadb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révision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Page/sections concernées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de la modification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Auteur (initiales)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d’approbation</w:t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Approuvé par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03/03/2019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Toutes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Création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Cahier des charges fonctionnel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Pour les modifications, pas besoin de noter les correctifs mineurs, tels que les changements d’initiales.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2"/>
        </w:numPr>
        <w:ind w:left="720" w:hanging="360"/>
      </w:pPr>
      <w:bookmarkStart w:colFirst="0" w:colLast="0" w:name="_1odq80ghojmk" w:id="0"/>
      <w:bookmarkEnd w:id="0"/>
      <w:r w:rsidDel="00000000" w:rsidR="00000000" w:rsidRPr="00000000">
        <w:rPr>
          <w:rtl w:val="0"/>
        </w:rPr>
        <w:t xml:space="preserve">Fonctions de service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Après réflexion menée avec le client, la fonction de service FS9 a été supprimée.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Il est préférable de faire un tableau de tâches plutôt qu’une liste de tâches, pour savoir qui fait quoi précisément, de manière à ce que ce soit lisible.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 caractéristiques ont été introduites afin de mieux respecter le besoin du client 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Noter le prix en HT plutôt que TTC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Trier les historiques par date, personne, team et prix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Empêcher la modification des des bilans après la facturation des équipes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Désactiver le bouton du bilan tant que le trimestre n’est pas fini et vérifier en base de données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Ajouter un flag pour l’enregistrement des bilans : ils ne peuvent pas être validés s’il y a une erreur dans le prix total, et une fois validés il ne peuvent plus être changés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Définir un seuil d’alerte sur la quantité de produit restant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Afficher la date de péremption dans dans l’inventaire et les alertes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Ajouter un fournisseur dans une aliquote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Ajouter une source et une cible dans un produit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Mettre le prix total en HT dans l’export CSV de l’administrateur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Afficher un “-” pour retirer d’une unité le nombre d’aliquotes d’un panier, un “+” pour en ajouter d’une unité, et un “x” pour le supprimer</w:t>
      </w:r>
    </w:p>
    <w:p w:rsidR="00000000" w:rsidDel="00000000" w:rsidP="00000000" w:rsidRDefault="00000000" w:rsidRPr="00000000" w14:paraId="0000008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left="720" w:hanging="360"/>
      </w:pPr>
      <w:bookmarkStart w:colFirst="0" w:colLast="0" w:name="_ssrhatvgceg1" w:id="1"/>
      <w:bookmarkEnd w:id="1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Il faut créer une table Appartenance pour associer un utilisateur à une équipe, et qui contient une date de début et de fin d’appartenance de cet utilisateur à cette équipe.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Il faut également remplacer “produit” par “aliquot” dans la table Transaction.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2"/>
        </w:numPr>
        <w:ind w:left="720" w:hanging="360"/>
      </w:pPr>
      <w:bookmarkStart w:colFirst="0" w:colLast="0" w:name="_eswsj34g8g1n" w:id="2"/>
      <w:bookmarkEnd w:id="2"/>
      <w:r w:rsidDel="00000000" w:rsidR="00000000" w:rsidRPr="00000000">
        <w:rPr>
          <w:rtl w:val="0"/>
        </w:rPr>
        <w:t xml:space="preserve">Contraintes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Lors de la réunion, les impositions générales concernant les règlements et normes à respecter ont été clairement défini. L’application devra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Respecter le codage via CheckStyle pour un code lisible (GSA/doc/quality/GSA_checks.xml)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Utiliser le plugin DataTable afin de trier plus facilement les résultats de la base de données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Utiliser MySql car l’entreprise l’utilise déjà et l’administrateur est familiarisé avec ce SGBD.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Conception de l’application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Les informations données lors de la réunion nous ont permis de commencer le projet, notamment implémenter les fonctionnalités de service côté backend, et rendu graphique correspondant côté frontend.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3"/>
      <w:bookmarkEnd w:id="3"/>
      <w:r w:rsidDel="00000000" w:rsidR="00000000" w:rsidRPr="00000000">
        <w:rPr>
          <w:rtl w:val="0"/>
        </w:rPr>
        <w:t xml:space="preserve">Travail à faire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85"/>
        <w:gridCol w:w="3485"/>
        <w:gridCol w:w="3486"/>
        <w:tblGridChange w:id="0">
          <w:tblGrid>
            <w:gridCol w:w="3485"/>
            <w:gridCol w:w="3485"/>
            <w:gridCol w:w="3486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Objet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Travail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Initiales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Implémentation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commencer à implémenter fonctions de service côté backend et frontend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Remplir le 1er sprint 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 prochaine réunion aura lieu le mercredi 04 mars à 14H sur le site de Luminy.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588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64"/>
      <w:gridCol w:w="1764"/>
      <w:gridCol w:w="1765"/>
      <w:gridCol w:w="1765"/>
      <w:gridCol w:w="1765"/>
      <w:gridCol w:w="1765"/>
      <w:tblGridChange w:id="0">
        <w:tblGrid>
          <w:gridCol w:w="1764"/>
          <w:gridCol w:w="1764"/>
          <w:gridCol w:w="1765"/>
          <w:gridCol w:w="1765"/>
          <w:gridCol w:w="1765"/>
          <w:gridCol w:w="1765"/>
        </w:tblGrid>
      </w:tblGridChange>
    </w:tblGrid>
    <w:tr>
      <w:trPr>
        <w:trHeight w:val="380" w:hRule="atLeast"/>
      </w:trPr>
      <w:tc>
        <w:tcPr>
          <w:vMerge w:val="restart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</wp:posOffset>
                </wp:positionH>
                <wp:positionV relativeFrom="paragraph">
                  <wp:posOffset>7620</wp:posOffset>
                </wp:positionV>
                <wp:extent cx="921367" cy="4381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</w:t>
          </w:r>
        </w:p>
      </w:tc>
      <w:tc>
        <w:tcPr/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Version</w:t>
          </w:r>
        </w:p>
      </w:tc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4472c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Date</w:t>
          </w:r>
        </w:p>
      </w:tc>
      <w:tc>
        <w:tcPr>
          <w:vMerge w:val="restart"/>
        </w:tcPr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p.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</w:tcPr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GSA</w:t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/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-284" w:right="-307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13/02/2019</w:t>
          </w:r>
        </w:p>
      </w:tc>
      <w:tc>
        <w:tcPr>
          <w:vMerge w:val="continue"/>
        </w:tcPr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-284" w:right="-30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hanging="360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