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Executive Summary: Vintara Sales &amp; Marketing Plan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Vintara Group LLC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Business Model: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Spirits-based holdings company focused on acquiring and scaling undervalued craft alcohol brands through superior sales, marketing, and operational execution.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We Do: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Vintara identifies craft spirits brands that lack the capital, go-to-market experience, or operational bandwidth to scale. We provide full-stack commercialization support—leveraging our deep ties in entertainment, creative strategy, and alcohol distribution to unlock growth.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Key Strategic Advantages: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Founder-led creative and storytelling excellence (Hollywood &amp; agency ties)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Proven partnerships (e.g., Califino Tequila active, Vermont Spirits in negotiation)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Automated, performance-based GTM infrastructure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Lean, modular team with deep industry expertise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Strong DTC innovation including concierge service, QR funneling, and influencer affiliate tracking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First-Year Execution Milestones: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Finalize legal onboarding, IP protection, and market registration for 3 core brands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Launch into 3–4 strategic markets (AZ, FL, NV, PA) with selective retail &amp; on-premise partners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Launch limited-edition collector bottle campaign tied to celebrity/influencer seeding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Achieve first 25+ account reorders and track DTC Shopify conversion benchmarks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Deliver 3 formal board reports with actuals vs forecast and KPI scorecard status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Capital Discipline: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$5M equity capital to be supported by a $1M credit line for product procurement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Founder compensation starts below market and is performance-based with staged increases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Budget model uses a 70/20/10 discipline: Proven, Growth, Contingency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KPI-linked performance bonuses for all leadership roles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investor visibility into burn vs build metrics, scenario plans, and recovery protocols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Why We Win: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Vintara builds brands that become culture—not just products on a shelf. By combining modern funnel architecture, elite influencer access, tight cost control, and authentic storytelling, we offer asymmetric upside with institutional-grade execution.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*Detailed execution plans by channel, region, budget category, and activation method follow in Sections 1–15.*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