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73"/>
      </w:tblGrid>
      <w:tr>
        <w:tc>
          <w:tcPr>
            <w:tcW w:type="dxa" w:w="9173"/>
            <w:tcBorders>
              <w:top w:val="none"/>
              <w:left w:val="single" w:sz="36" w:space="0" w:color="1E3A8A"/>
              <w:bottom w:val="none"/>
              <w:right w:val="none"/>
            </w:tcBorders>
            <w:shd w:fill="F8FAFC"/>
            <w:tcMar>
              <w:top w:w="160" w:type="dxa"/>
              <w:bottom w:w="160" w:type="dxa"/>
              <w:left w:w="200" w:type="dxa"/>
              <w:right w:w="200" w:type="dxa"/>
            </w:tcMar>
          </w:tcPr>
          <w:p>
            <w:pPr>
              <w:spacing w:line="276" w:lineRule="auto" w:after="40"/>
            </w:pPr>
            <w:r>
              <w:rPr>
                <w:rFonts w:ascii="Calibri" w:hAnsi="Calibri"/>
                <w:b/>
                <w:color w:val="1E3A8A"/>
                <w:sz w:val="20"/>
              </w:rPr>
              <w:t>LAPORAN KEGIATAN 7 (SPRINT 3)</w:t>
              <w:br/>
            </w:r>
            <w:r>
              <w:rPr>
                <w:rFonts w:ascii="Calibri" w:hAnsi="Calibri"/>
                <w:b/>
                <w:color w:val="1E3A8A"/>
                <w:sz w:val="30"/>
              </w:rPr>
              <w:t>Pengkodean Modul Inti Aplikasi (MVC Laravel Framework)</w:t>
              <w:br/>
            </w:r>
          </w:p>
          <w:p>
            <w:pPr>
              <w:spacing w:line="288" w:lineRule="auto" w:after="0"/>
            </w:pPr>
            <w:r>
              <w:rPr>
                <w:rFonts w:ascii="Calibri" w:hAnsi="Calibri"/>
                <w:b/>
                <w:color w:val="0F172A"/>
                <w:sz w:val="19"/>
              </w:rPr>
              <w:t xml:space="preserve">Nama Proyek: </w:t>
            </w:r>
            <w:r>
              <w:rPr>
                <w:rFonts w:ascii="Calibri" w:hAnsi="Calibri"/>
                <w:color w:val="1E293B"/>
                <w:sz w:val="19"/>
              </w:rPr>
              <w:t>Sistem Informasi E-Supply Chain Management (E-SCM) Klaster IKM Marmer Tulungagung</w:t>
              <w:br/>
            </w:r>
            <w:r>
              <w:rPr>
                <w:rFonts w:ascii="Calibri" w:hAnsi="Calibri"/>
                <w:b/>
                <w:color w:val="0F172A"/>
                <w:sz w:val="19"/>
              </w:rPr>
              <w:t xml:space="preserve">Stack &amp; Arsitektur: </w:t>
            </w:r>
            <w:r>
              <w:rPr>
                <w:rFonts w:ascii="Calibri" w:hAnsi="Calibri"/>
                <w:color w:val="1E293B"/>
                <w:sz w:val="19"/>
              </w:rPr>
              <w:t>PHP 8.3 / Laravel 11.56 MVC + MySQL 8.0 + Tailwind CSS + Chart.js</w:t>
              <w:br/>
            </w:r>
            <w:r>
              <w:rPr>
                <w:rFonts w:ascii="Calibri" w:hAnsi="Calibri"/>
                <w:b/>
                <w:color w:val="0F172A"/>
                <w:sz w:val="19"/>
              </w:rPr>
              <w:t xml:space="preserve">Mitra Studi Kasus: </w:t>
            </w:r>
            <w:r>
              <w:rPr>
                <w:rFonts w:ascii="Calibri" w:hAnsi="Calibri"/>
                <w:color w:val="1E293B"/>
                <w:sz w:val="19"/>
              </w:rPr>
              <w:t>UD Cahaya Onix &amp; UD Putra Abadi (Kabupaten Tulungagung)</w:t>
              <w:br/>
            </w:r>
            <w:r>
              <w:rPr>
                <w:rFonts w:ascii="Calibri" w:hAnsi="Calibri"/>
                <w:b/>
                <w:color w:val="0F172A"/>
                <w:sz w:val="19"/>
              </w:rPr>
              <w:t xml:space="preserve">Waktu Pelaksanaan: </w:t>
            </w:r>
            <w:r>
              <w:rPr>
                <w:rFonts w:ascii="Calibri" w:hAnsi="Calibri"/>
                <w:color w:val="1E293B"/>
                <w:sz w:val="19"/>
              </w:rPr>
              <w:t>Bulan ke-3 (Sprint 3)</w:t>
              <w:br/>
            </w:r>
          </w:p>
        </w:tc>
      </w:tr>
    </w:tbl>
    <w:p>
      <w:pPr>
        <w:spacing w:after="120"/>
      </w:pPr>
    </w:p>
    <w:p>
      <w:pPr>
        <w:keepNext/>
        <w:spacing w:before="320" w:after="80"/>
      </w:pPr>
      <w:r>
        <w:rPr>
          <w:rFonts w:ascii="Calibri" w:hAnsi="Calibri"/>
          <w:b/>
          <w:color w:val="1E3A8A"/>
          <w:sz w:val="28"/>
        </w:rPr>
        <w:t>1. Ringkasan Eksekutif Hasil Implementasi</w:t>
      </w:r>
    </w:p>
    <w:p>
      <w:pPr>
        <w:spacing w:line="288" w:lineRule="auto" w:after="80"/>
        <w:jc w:val="both"/>
      </w:pPr>
      <w:r>
        <w:rPr>
          <w:rFonts w:ascii="Calibri" w:hAnsi="Calibri"/>
          <w:color w:val="1E293B"/>
          <w:sz w:val="21"/>
        </w:rPr>
        <w:t>Kegiatan 7 telah berhasil merealisasikan seluruh rancangan basis data (Kegiatan 4) dan desain antarmuka interaktif (Kegiatan 6) ke dalam arsitektur backend nyata berbasis Laravel MVC Framework dengan integrasi data empiris lapangan (UD Cahaya Onix &amp; UD Putra Abadi). Sistem telah berhasil dihubungkan ke basis data MySQL (db_escm_marmer) memuat 40 transaksi riil material batu marmer/kali dan 35 batch SPK historis (2025–2026), serta menyediakan 33 rute fungsional, 12 Eloquent Models, 7 Controllers, 1 Middleware RBAC, dan 11 modul tampilan Blade.</w:t>
      </w:r>
    </w:p>
    <w:p>
      <w:pPr>
        <w:keepNext/>
        <w:spacing w:before="320" w:after="80"/>
      </w:pPr>
      <w:r>
        <w:rPr>
          <w:rFonts w:ascii="Calibri" w:hAnsi="Calibri"/>
          <w:b/>
          <w:color w:val="1E3A8A"/>
          <w:sz w:val="28"/>
        </w:rPr>
        <w:t>2. Formulir 7.1: Matriks Pemetaan Modul, Controller &amp; Rute Sistem</w:t>
      </w:r>
    </w:p>
    <w:p>
      <w:pPr>
        <w:spacing w:line="288" w:lineRule="auto" w:after="80"/>
        <w:jc w:val="both"/>
      </w:pPr>
      <w:r>
        <w:rPr>
          <w:rFonts w:ascii="Calibri" w:hAnsi="Calibri"/>
          <w:color w:val="1E293B"/>
          <w:sz w:val="21"/>
        </w:rPr>
        <w:t>Berikut adalah matriks implementasi MVC per modul sistem:</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529"/>
        <w:gridCol w:w="1529"/>
        <w:gridCol w:w="1529"/>
        <w:gridCol w:w="1529"/>
        <w:gridCol w:w="1529"/>
        <w:gridCol w:w="1529"/>
      </w:tblGrid>
      <w:tr>
        <w:tc>
          <w:tcPr>
            <w:tcW w:type="dxa" w:w="504"/>
            <w:shd w:fill="1E3A8A"/>
            <w:tcMar>
              <w:top w:w="100" w:type="dxa"/>
              <w:bottom w:w="100" w:type="dxa"/>
              <w:left w:w="100" w:type="dxa"/>
              <w:right w:w="100" w:type="dxa"/>
            </w:tcMar>
          </w:tcPr>
          <w:p>
            <w:pPr>
              <w:spacing w:line="276" w:lineRule="auto" w:after="0"/>
              <w:jc w:val="center"/>
            </w:pPr>
            <w:r>
              <w:rPr>
                <w:rFonts w:ascii="Calibri" w:hAnsi="Calibri"/>
                <w:b/>
                <w:color w:val="FFFFFF"/>
                <w:sz w:val="18"/>
              </w:rPr>
              <w:t>No</w:t>
            </w:r>
          </w:p>
        </w:tc>
        <w:tc>
          <w:tcPr>
            <w:tcW w:type="dxa" w:w="1728"/>
            <w:shd w:fill="1E3A8A"/>
            <w:tcMar>
              <w:top w:w="100" w:type="dxa"/>
              <w:bottom w:w="100" w:type="dxa"/>
              <w:left w:w="100" w:type="dxa"/>
              <w:right w:w="100" w:type="dxa"/>
            </w:tcMar>
          </w:tcPr>
          <w:p>
            <w:pPr>
              <w:spacing w:line="276" w:lineRule="auto" w:after="0"/>
              <w:jc w:val="left"/>
            </w:pPr>
            <w:r>
              <w:rPr>
                <w:rFonts w:ascii="Calibri" w:hAnsi="Calibri"/>
                <w:b/>
                <w:color w:val="FFFFFF"/>
                <w:sz w:val="18"/>
              </w:rPr>
              <w:t>Modul Sistem</w:t>
            </w:r>
          </w:p>
        </w:tc>
        <w:tc>
          <w:tcPr>
            <w:tcW w:type="dxa" w:w="1728"/>
            <w:shd w:fill="1E3A8A"/>
            <w:tcMar>
              <w:top w:w="100" w:type="dxa"/>
              <w:bottom w:w="100" w:type="dxa"/>
              <w:left w:w="100" w:type="dxa"/>
              <w:right w:w="100" w:type="dxa"/>
            </w:tcMar>
          </w:tcPr>
          <w:p>
            <w:pPr>
              <w:spacing w:line="276" w:lineRule="auto" w:after="0"/>
              <w:jc w:val="center"/>
            </w:pPr>
            <w:r>
              <w:rPr>
                <w:rFonts w:ascii="Calibri" w:hAnsi="Calibri"/>
                <w:b/>
                <w:color w:val="FFFFFF"/>
                <w:sz w:val="18"/>
              </w:rPr>
              <w:t>Controller</w:t>
            </w:r>
          </w:p>
        </w:tc>
        <w:tc>
          <w:tcPr>
            <w:tcW w:type="dxa" w:w="2016"/>
            <w:shd w:fill="1E3A8A"/>
            <w:tcMar>
              <w:top w:w="100" w:type="dxa"/>
              <w:bottom w:w="100" w:type="dxa"/>
              <w:left w:w="100" w:type="dxa"/>
              <w:right w:w="100" w:type="dxa"/>
            </w:tcMar>
          </w:tcPr>
          <w:p>
            <w:pPr>
              <w:spacing w:line="276" w:lineRule="auto" w:after="0"/>
              <w:jc w:val="left"/>
            </w:pPr>
            <w:r>
              <w:rPr>
                <w:rFonts w:ascii="Calibri" w:hAnsi="Calibri"/>
                <w:b/>
                <w:color w:val="FFFFFF"/>
                <w:sz w:val="18"/>
              </w:rPr>
              <w:t>Endpoint URL</w:t>
            </w:r>
          </w:p>
        </w:tc>
        <w:tc>
          <w:tcPr>
            <w:tcW w:type="dxa" w:w="1008"/>
            <w:shd w:fill="1E3A8A"/>
            <w:tcMar>
              <w:top w:w="100" w:type="dxa"/>
              <w:bottom w:w="100" w:type="dxa"/>
              <w:left w:w="100" w:type="dxa"/>
              <w:right w:w="100" w:type="dxa"/>
            </w:tcMar>
          </w:tcPr>
          <w:p>
            <w:pPr>
              <w:spacing w:line="276" w:lineRule="auto" w:after="0"/>
              <w:jc w:val="center"/>
            </w:pPr>
            <w:r>
              <w:rPr>
                <w:rFonts w:ascii="Calibri" w:hAnsi="Calibri"/>
                <w:b/>
                <w:color w:val="FFFFFF"/>
                <w:sz w:val="18"/>
              </w:rPr>
              <w:t>Metode</w:t>
            </w:r>
          </w:p>
        </w:tc>
        <w:tc>
          <w:tcPr>
            <w:tcW w:type="dxa" w:w="2189"/>
            <w:shd w:fill="1E3A8A"/>
            <w:tcMar>
              <w:top w:w="100" w:type="dxa"/>
              <w:bottom w:w="100" w:type="dxa"/>
              <w:left w:w="100" w:type="dxa"/>
              <w:right w:w="100" w:type="dxa"/>
            </w:tcMar>
          </w:tcPr>
          <w:p>
            <w:pPr>
              <w:spacing w:line="276" w:lineRule="auto" w:after="0"/>
              <w:jc w:val="center"/>
            </w:pPr>
            <w:r>
              <w:rPr>
                <w:rFonts w:ascii="Calibri" w:hAnsi="Calibri"/>
                <w:b/>
                <w:color w:val="FFFFFF"/>
                <w:sz w:val="18"/>
              </w:rPr>
              <w:t>Deskripsi Fungsi Operasional</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1</w:t>
            </w:r>
          </w:p>
        </w:tc>
        <w:tc>
          <w:tcPr>
            <w:tcW w:type="dxa" w:w="1728"/>
            <w:tcMar>
              <w:top w:w="70" w:type="dxa"/>
              <w:bottom w:w="70" w:type="dxa"/>
              <w:left w:w="90" w:type="dxa"/>
              <w:right w:w="90" w:type="dxa"/>
            </w:tcMar>
          </w:tcPr>
          <w:p>
            <w:pPr>
              <w:spacing w:line="276" w:lineRule="auto" w:after="0"/>
              <w:jc w:val="left"/>
            </w:pPr>
            <w:r>
              <w:rPr>
                <w:rFonts w:ascii="Calibri" w:hAnsi="Calibri"/>
                <w:color w:val="1E293B"/>
                <w:sz w:val="17"/>
              </w:rPr>
              <w:t>Autentikasi &amp; RBAC</w:t>
            </w:r>
          </w:p>
        </w:tc>
        <w:tc>
          <w:tcPr>
            <w:tcW w:type="dxa" w:w="1728"/>
            <w:tcMar>
              <w:top w:w="70" w:type="dxa"/>
              <w:bottom w:w="70" w:type="dxa"/>
              <w:left w:w="90" w:type="dxa"/>
              <w:right w:w="90" w:type="dxa"/>
            </w:tcMar>
          </w:tcPr>
          <w:p>
            <w:pPr>
              <w:spacing w:line="276" w:lineRule="auto" w:after="0"/>
              <w:jc w:val="center"/>
            </w:pPr>
            <w:r>
              <w:rPr>
                <w:rFonts w:ascii="Calibri" w:hAnsi="Calibri"/>
                <w:color w:val="1E293B"/>
                <w:sz w:val="17"/>
              </w:rPr>
              <w:t>AuthController</w:t>
            </w:r>
          </w:p>
        </w:tc>
        <w:tc>
          <w:tcPr>
            <w:tcW w:type="dxa" w:w="2016"/>
            <w:tcMar>
              <w:top w:w="70" w:type="dxa"/>
              <w:bottom w:w="70" w:type="dxa"/>
              <w:left w:w="90" w:type="dxa"/>
              <w:right w:w="90" w:type="dxa"/>
            </w:tcMar>
          </w:tcPr>
          <w:p>
            <w:pPr>
              <w:spacing w:line="276" w:lineRule="auto" w:after="0"/>
              <w:jc w:val="left"/>
            </w:pPr>
            <w:r>
              <w:rPr>
                <w:rFonts w:ascii="Calibri" w:hAnsi="Calibri"/>
                <w:color w:val="1E293B"/>
                <w:sz w:val="17"/>
              </w:rPr>
              <w:t>/login</w:t>
              <w:br/>
              <w:t>/logout</w:t>
            </w:r>
          </w:p>
        </w:tc>
        <w:tc>
          <w:tcPr>
            <w:tcW w:type="dxa" w:w="1008"/>
            <w:tcMar>
              <w:top w:w="70" w:type="dxa"/>
              <w:bottom w:w="70" w:type="dxa"/>
              <w:left w:w="90" w:type="dxa"/>
              <w:right w:w="90" w:type="dxa"/>
            </w:tcMar>
          </w:tcPr>
          <w:p>
            <w:pPr>
              <w:spacing w:line="276" w:lineRule="auto" w:after="0"/>
              <w:jc w:val="center"/>
            </w:pPr>
            <w:r>
              <w:rPr>
                <w:rFonts w:ascii="Calibri" w:hAnsi="Calibri"/>
                <w:color w:val="1E293B"/>
                <w:sz w:val="17"/>
              </w:rPr>
              <w:t>GET/POST</w:t>
              <w:br/>
              <w:t>POST</w:t>
            </w:r>
          </w:p>
        </w:tc>
        <w:tc>
          <w:tcPr>
            <w:tcW w:type="dxa" w:w="2189"/>
            <w:tcMar>
              <w:top w:w="70" w:type="dxa"/>
              <w:bottom w:w="70" w:type="dxa"/>
              <w:left w:w="90" w:type="dxa"/>
              <w:right w:w="90" w:type="dxa"/>
            </w:tcMar>
          </w:tcPr>
          <w:p>
            <w:pPr>
              <w:spacing w:line="276" w:lineRule="auto" w:after="0"/>
              <w:jc w:val="center"/>
            </w:pPr>
            <w:r>
              <w:rPr>
                <w:rFonts w:ascii="Calibri" w:hAnsi="Calibri"/>
                <w:color w:val="1E293B"/>
                <w:sz w:val="17"/>
              </w:rPr>
              <w:t>Login multi-role (Owner, Gudang, Produksi, Distribusi), proteksi CSRF &amp; session timeout.</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2</w:t>
            </w:r>
          </w:p>
        </w:tc>
        <w:tc>
          <w:tcPr>
            <w:tcW w:type="dxa" w:w="1728"/>
            <w:tcMar>
              <w:top w:w="70" w:type="dxa"/>
              <w:bottom w:w="70" w:type="dxa"/>
              <w:left w:w="90" w:type="dxa"/>
              <w:right w:w="90" w:type="dxa"/>
            </w:tcMar>
            <w:shd w:fill="F8FAFC"/>
          </w:tcPr>
          <w:p>
            <w:pPr>
              <w:spacing w:line="276" w:lineRule="auto" w:after="0"/>
              <w:jc w:val="left"/>
            </w:pPr>
            <w:r>
              <w:rPr>
                <w:rFonts w:ascii="Calibri" w:hAnsi="Calibri"/>
                <w:color w:val="1E293B"/>
                <w:sz w:val="17"/>
              </w:rPr>
              <w:t>Dashboard Eksekutif</w:t>
            </w:r>
          </w:p>
        </w:tc>
        <w:tc>
          <w:tcPr>
            <w:tcW w:type="dxa" w:w="1728"/>
            <w:tcMar>
              <w:top w:w="70" w:type="dxa"/>
              <w:bottom w:w="70" w:type="dxa"/>
              <w:left w:w="90" w:type="dxa"/>
              <w:right w:w="90" w:type="dxa"/>
            </w:tcMar>
            <w:shd w:fill="F8FAFC"/>
          </w:tcPr>
          <w:p>
            <w:pPr>
              <w:spacing w:line="276" w:lineRule="auto" w:after="0"/>
              <w:jc w:val="center"/>
            </w:pPr>
            <w:r>
              <w:rPr>
                <w:rFonts w:ascii="Calibri" w:hAnsi="Calibri"/>
                <w:color w:val="1E293B"/>
                <w:sz w:val="17"/>
              </w:rPr>
              <w:t>DashboardController</w:t>
            </w:r>
          </w:p>
        </w:tc>
        <w:tc>
          <w:tcPr>
            <w:tcW w:type="dxa" w:w="2016"/>
            <w:tcMar>
              <w:top w:w="70" w:type="dxa"/>
              <w:bottom w:w="70" w:type="dxa"/>
              <w:left w:w="90" w:type="dxa"/>
              <w:right w:w="90" w:type="dxa"/>
            </w:tcMar>
            <w:shd w:fill="F8FAFC"/>
          </w:tcPr>
          <w:p>
            <w:pPr>
              <w:spacing w:line="276" w:lineRule="auto" w:after="0"/>
              <w:jc w:val="left"/>
            </w:pPr>
            <w:r>
              <w:rPr>
                <w:rFonts w:ascii="Calibri" w:hAnsi="Calibri"/>
                <w:color w:val="1E293B"/>
                <w:sz w:val="17"/>
              </w:rPr>
              <w:t>/dashboard</w:t>
              <w:br/>
              <w:t>/supply-chain-flow</w:t>
              <w:br/>
              <w:t>/reports</w:t>
            </w:r>
          </w:p>
        </w:tc>
        <w:tc>
          <w:tcPr>
            <w:tcW w:type="dxa" w:w="1008"/>
            <w:tcMar>
              <w:top w:w="70" w:type="dxa"/>
              <w:bottom w:w="70" w:type="dxa"/>
              <w:left w:w="90" w:type="dxa"/>
              <w:right w:w="90" w:type="dxa"/>
            </w:tcMar>
            <w:shd w:fill="F8FAFC"/>
          </w:tcPr>
          <w:p>
            <w:pPr>
              <w:spacing w:line="276" w:lineRule="auto" w:after="0"/>
              <w:jc w:val="center"/>
            </w:pPr>
            <w:r>
              <w:rPr>
                <w:rFonts w:ascii="Calibri" w:hAnsi="Calibri"/>
                <w:color w:val="1E293B"/>
                <w:sz w:val="17"/>
              </w:rPr>
              <w:t>GET</w:t>
              <w:br/>
              <w:t>GET</w:t>
              <w:br/>
              <w:t>GET</w:t>
            </w:r>
          </w:p>
        </w:tc>
        <w:tc>
          <w:tcPr>
            <w:tcW w:type="dxa" w:w="2189"/>
            <w:tcMar>
              <w:top w:w="70" w:type="dxa"/>
              <w:bottom w:w="70" w:type="dxa"/>
              <w:left w:w="90" w:type="dxa"/>
              <w:right w:w="90" w:type="dxa"/>
            </w:tcMar>
            <w:shd w:fill="F8FAFC"/>
          </w:tcPr>
          <w:p>
            <w:pPr>
              <w:spacing w:line="276" w:lineRule="auto" w:after="0"/>
              <w:jc w:val="center"/>
            </w:pPr>
            <w:r>
              <w:rPr>
                <w:rFonts w:ascii="Calibri" w:hAnsi="Calibri"/>
                <w:color w:val="1E293B"/>
                <w:sz w:val="17"/>
              </w:rPr>
              <w:t>Agregasi 4 Card KPI, visualisasi 8 Tahap Alur Marmer, grafik tren 6 bulan, status 7 mesin bubut.</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3</w:t>
            </w:r>
          </w:p>
        </w:tc>
        <w:tc>
          <w:tcPr>
            <w:tcW w:type="dxa" w:w="1728"/>
            <w:tcMar>
              <w:top w:w="70" w:type="dxa"/>
              <w:bottom w:w="70" w:type="dxa"/>
              <w:left w:w="90" w:type="dxa"/>
              <w:right w:w="90" w:type="dxa"/>
            </w:tcMar>
          </w:tcPr>
          <w:p>
            <w:pPr>
              <w:spacing w:line="276" w:lineRule="auto" w:after="0"/>
              <w:jc w:val="left"/>
            </w:pPr>
            <w:r>
              <w:rPr>
                <w:rFonts w:ascii="Calibri" w:hAnsi="Calibri"/>
                <w:color w:val="1E293B"/>
                <w:sz w:val="17"/>
              </w:rPr>
              <w:t>Bahan Baku (Hulu)</w:t>
            </w:r>
          </w:p>
        </w:tc>
        <w:tc>
          <w:tcPr>
            <w:tcW w:type="dxa" w:w="1728"/>
            <w:tcMar>
              <w:top w:w="70" w:type="dxa"/>
              <w:bottom w:w="70" w:type="dxa"/>
              <w:left w:w="90" w:type="dxa"/>
              <w:right w:w="90" w:type="dxa"/>
            </w:tcMar>
          </w:tcPr>
          <w:p>
            <w:pPr>
              <w:spacing w:line="276" w:lineRule="auto" w:after="0"/>
              <w:jc w:val="center"/>
            </w:pPr>
            <w:r>
              <w:rPr>
                <w:rFonts w:ascii="Calibri" w:hAnsi="Calibri"/>
                <w:color w:val="1E293B"/>
                <w:sz w:val="17"/>
              </w:rPr>
              <w:t>MaterialController</w:t>
            </w:r>
          </w:p>
        </w:tc>
        <w:tc>
          <w:tcPr>
            <w:tcW w:type="dxa" w:w="2016"/>
            <w:tcMar>
              <w:top w:w="70" w:type="dxa"/>
              <w:bottom w:w="70" w:type="dxa"/>
              <w:left w:w="90" w:type="dxa"/>
              <w:right w:w="90" w:type="dxa"/>
            </w:tcMar>
          </w:tcPr>
          <w:p>
            <w:pPr>
              <w:spacing w:line="276" w:lineRule="auto" w:after="0"/>
              <w:jc w:val="left"/>
            </w:pPr>
            <w:r>
              <w:rPr>
                <w:rFonts w:ascii="Calibri" w:hAnsi="Calibri"/>
                <w:color w:val="1E293B"/>
                <w:sz w:val="17"/>
              </w:rPr>
              <w:t>/materials</w:t>
              <w:br/>
              <w:t>/materials/transaction</w:t>
            </w:r>
          </w:p>
        </w:tc>
        <w:tc>
          <w:tcPr>
            <w:tcW w:type="dxa" w:w="1008"/>
            <w:tcMar>
              <w:top w:w="70" w:type="dxa"/>
              <w:bottom w:w="70" w:type="dxa"/>
              <w:left w:w="90" w:type="dxa"/>
              <w:right w:w="90" w:type="dxa"/>
            </w:tcMar>
          </w:tcPr>
          <w:p>
            <w:pPr>
              <w:spacing w:line="276" w:lineRule="auto" w:after="0"/>
              <w:jc w:val="center"/>
            </w:pPr>
            <w:r>
              <w:rPr>
                <w:rFonts w:ascii="Calibri" w:hAnsi="Calibri"/>
                <w:color w:val="1E293B"/>
                <w:sz w:val="17"/>
              </w:rPr>
              <w:t>GET/POST</w:t>
              <w:br/>
              <w:t>POST</w:t>
            </w:r>
          </w:p>
        </w:tc>
        <w:tc>
          <w:tcPr>
            <w:tcW w:type="dxa" w:w="2189"/>
            <w:tcMar>
              <w:top w:w="70" w:type="dxa"/>
              <w:bottom w:w="70" w:type="dxa"/>
              <w:left w:w="90" w:type="dxa"/>
              <w:right w:w="90" w:type="dxa"/>
            </w:tcMar>
          </w:tcPr>
          <w:p>
            <w:pPr>
              <w:spacing w:line="276" w:lineRule="auto" w:after="0"/>
              <w:jc w:val="center"/>
            </w:pPr>
            <w:r>
              <w:rPr>
                <w:rFonts w:ascii="Calibri" w:hAnsi="Calibri"/>
                <w:color w:val="1E293B"/>
                <w:sz w:val="17"/>
              </w:rPr>
              <w:t>Manajemen stok bongkahan marmer/onyx/batu kali, filter status stok kritis, mutasi In/Out.</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4</w:t>
            </w:r>
          </w:p>
        </w:tc>
        <w:tc>
          <w:tcPr>
            <w:tcW w:type="dxa" w:w="1728"/>
            <w:tcMar>
              <w:top w:w="70" w:type="dxa"/>
              <w:bottom w:w="70" w:type="dxa"/>
              <w:left w:w="90" w:type="dxa"/>
              <w:right w:w="90" w:type="dxa"/>
            </w:tcMar>
            <w:shd w:fill="F8FAFC"/>
          </w:tcPr>
          <w:p>
            <w:pPr>
              <w:spacing w:line="276" w:lineRule="auto" w:after="0"/>
              <w:jc w:val="left"/>
            </w:pPr>
            <w:r>
              <w:rPr>
                <w:rFonts w:ascii="Calibri" w:hAnsi="Calibri"/>
                <w:color w:val="1E293B"/>
                <w:sz w:val="17"/>
              </w:rPr>
              <w:t>Produksi &amp; SPK</w:t>
            </w:r>
          </w:p>
        </w:tc>
        <w:tc>
          <w:tcPr>
            <w:tcW w:type="dxa" w:w="1728"/>
            <w:tcMar>
              <w:top w:w="70" w:type="dxa"/>
              <w:bottom w:w="70" w:type="dxa"/>
              <w:left w:w="90" w:type="dxa"/>
              <w:right w:w="90" w:type="dxa"/>
            </w:tcMar>
            <w:shd w:fill="F8FAFC"/>
          </w:tcPr>
          <w:p>
            <w:pPr>
              <w:spacing w:line="276" w:lineRule="auto" w:after="0"/>
              <w:jc w:val="center"/>
            </w:pPr>
            <w:r>
              <w:rPr>
                <w:rFonts w:ascii="Calibri" w:hAnsi="Calibri"/>
                <w:color w:val="1E293B"/>
                <w:sz w:val="17"/>
              </w:rPr>
              <w:t>ProductionController</w:t>
            </w:r>
          </w:p>
        </w:tc>
        <w:tc>
          <w:tcPr>
            <w:tcW w:type="dxa" w:w="2016"/>
            <w:tcMar>
              <w:top w:w="70" w:type="dxa"/>
              <w:bottom w:w="70" w:type="dxa"/>
              <w:left w:w="90" w:type="dxa"/>
              <w:right w:w="90" w:type="dxa"/>
            </w:tcMar>
            <w:shd w:fill="F8FAFC"/>
          </w:tcPr>
          <w:p>
            <w:pPr>
              <w:spacing w:line="276" w:lineRule="auto" w:after="0"/>
              <w:jc w:val="left"/>
            </w:pPr>
            <w:r>
              <w:rPr>
                <w:rFonts w:ascii="Calibri" w:hAnsi="Calibri"/>
                <w:color w:val="1E293B"/>
                <w:sz w:val="17"/>
              </w:rPr>
              <w:t>/production/kanban</w:t>
              <w:br/>
              <w:t>/production/work-order</w:t>
              <w:br/>
              <w:t>/production/wip</w:t>
            </w:r>
          </w:p>
        </w:tc>
        <w:tc>
          <w:tcPr>
            <w:tcW w:type="dxa" w:w="1008"/>
            <w:tcMar>
              <w:top w:w="70" w:type="dxa"/>
              <w:bottom w:w="70" w:type="dxa"/>
              <w:left w:w="90" w:type="dxa"/>
              <w:right w:w="90" w:type="dxa"/>
            </w:tcMar>
            <w:shd w:fill="F8FAFC"/>
          </w:tcPr>
          <w:p>
            <w:pPr>
              <w:spacing w:line="276" w:lineRule="auto" w:after="0"/>
              <w:jc w:val="center"/>
            </w:pPr>
            <w:r>
              <w:rPr>
                <w:rFonts w:ascii="Calibri" w:hAnsi="Calibri"/>
                <w:color w:val="1E293B"/>
                <w:sz w:val="17"/>
              </w:rPr>
              <w:t>GET</w:t>
              <w:br/>
              <w:t>POST</w:t>
              <w:br/>
              <w:t>GET</w:t>
            </w:r>
          </w:p>
        </w:tc>
        <w:tc>
          <w:tcPr>
            <w:tcW w:type="dxa" w:w="2189"/>
            <w:tcMar>
              <w:top w:w="70" w:type="dxa"/>
              <w:bottom w:w="70" w:type="dxa"/>
              <w:left w:w="90" w:type="dxa"/>
              <w:right w:w="90" w:type="dxa"/>
            </w:tcMar>
            <w:shd w:fill="F8FAFC"/>
          </w:tcPr>
          <w:p>
            <w:pPr>
              <w:spacing w:line="276" w:lineRule="auto" w:after="0"/>
              <w:jc w:val="center"/>
            </w:pPr>
            <w:r>
              <w:rPr>
                <w:rFonts w:ascii="Calibri" w:hAnsi="Calibri"/>
                <w:color w:val="1E293B"/>
                <w:sz w:val="17"/>
              </w:rPr>
              <w:t>Kanban Board 5 Kolom, penerbitan SPK baru, tracking utilisasi mesin bubut (35 batch historis).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5</w:t>
            </w:r>
          </w:p>
        </w:tc>
        <w:tc>
          <w:tcPr>
            <w:tcW w:type="dxa" w:w="1728"/>
            <w:tcMar>
              <w:top w:w="70" w:type="dxa"/>
              <w:bottom w:w="70" w:type="dxa"/>
              <w:left w:w="90" w:type="dxa"/>
              <w:right w:w="90" w:type="dxa"/>
            </w:tcMar>
          </w:tcPr>
          <w:p>
            <w:pPr>
              <w:spacing w:line="276" w:lineRule="auto" w:after="0"/>
              <w:jc w:val="left"/>
            </w:pPr>
            <w:r>
              <w:rPr>
                <w:rFonts w:ascii="Calibri" w:hAnsi="Calibri"/>
                <w:color w:val="1E293B"/>
                <w:sz w:val="17"/>
              </w:rPr>
              <w:t>Quality Control (QC)</w:t>
            </w:r>
          </w:p>
        </w:tc>
        <w:tc>
          <w:tcPr>
            <w:tcW w:type="dxa" w:w="1728"/>
            <w:tcMar>
              <w:top w:w="70" w:type="dxa"/>
              <w:bottom w:w="70" w:type="dxa"/>
              <w:left w:w="90" w:type="dxa"/>
              <w:right w:w="90" w:type="dxa"/>
            </w:tcMar>
          </w:tcPr>
          <w:p>
            <w:pPr>
              <w:spacing w:line="276" w:lineRule="auto" w:after="0"/>
              <w:jc w:val="center"/>
            </w:pPr>
            <w:r>
              <w:rPr>
                <w:rFonts w:ascii="Calibri" w:hAnsi="Calibri"/>
                <w:color w:val="1E293B"/>
                <w:sz w:val="17"/>
              </w:rPr>
              <w:t>QcController</w:t>
            </w:r>
          </w:p>
        </w:tc>
        <w:tc>
          <w:tcPr>
            <w:tcW w:type="dxa" w:w="2016"/>
            <w:tcMar>
              <w:top w:w="70" w:type="dxa"/>
              <w:bottom w:w="70" w:type="dxa"/>
              <w:left w:w="90" w:type="dxa"/>
              <w:right w:w="90" w:type="dxa"/>
            </w:tcMar>
          </w:tcPr>
          <w:p>
            <w:pPr>
              <w:spacing w:line="276" w:lineRule="auto" w:after="0"/>
              <w:jc w:val="left"/>
            </w:pPr>
            <w:r>
              <w:rPr>
                <w:rFonts w:ascii="Calibri" w:hAnsi="Calibri"/>
                <w:color w:val="1E293B"/>
                <w:sz w:val="17"/>
              </w:rPr>
              <w:t>/qc</w:t>
              <w:br/>
              <w:t>/qc/inspect</w:t>
            </w:r>
          </w:p>
        </w:tc>
        <w:tc>
          <w:tcPr>
            <w:tcW w:type="dxa" w:w="1008"/>
            <w:tcMar>
              <w:top w:w="70" w:type="dxa"/>
              <w:bottom w:w="70" w:type="dxa"/>
              <w:left w:w="90" w:type="dxa"/>
              <w:right w:w="90" w:type="dxa"/>
            </w:tcMar>
          </w:tcPr>
          <w:p>
            <w:pPr>
              <w:spacing w:line="276" w:lineRule="auto" w:after="0"/>
              <w:jc w:val="center"/>
            </w:pPr>
            <w:r>
              <w:rPr>
                <w:rFonts w:ascii="Calibri" w:hAnsi="Calibri"/>
                <w:color w:val="1E293B"/>
                <w:sz w:val="17"/>
              </w:rPr>
              <w:t>GET</w:t>
              <w:br/>
              <w:t>POST</w:t>
            </w:r>
          </w:p>
        </w:tc>
        <w:tc>
          <w:tcPr>
            <w:tcW w:type="dxa" w:w="2189"/>
            <w:tcMar>
              <w:top w:w="70" w:type="dxa"/>
              <w:bottom w:w="70" w:type="dxa"/>
              <w:left w:w="90" w:type="dxa"/>
              <w:right w:w="90" w:type="dxa"/>
            </w:tcMar>
          </w:tcPr>
          <w:p>
            <w:pPr>
              <w:spacing w:line="276" w:lineRule="auto" w:after="0"/>
              <w:jc w:val="center"/>
            </w:pPr>
            <w:r>
              <w:rPr>
                <w:rFonts w:ascii="Calibri" w:hAnsi="Calibri"/>
                <w:color w:val="1E293B"/>
                <w:sz w:val="17"/>
              </w:rPr>
              <w:t>Form inspeksi QC Tahap 1 (Bentuk) &amp; QC Tahap 2 (Poles &amp; Uji Afur). Auto-update stok jadi.</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6</w:t>
            </w:r>
          </w:p>
        </w:tc>
        <w:tc>
          <w:tcPr>
            <w:tcW w:type="dxa" w:w="1728"/>
            <w:tcMar>
              <w:top w:w="70" w:type="dxa"/>
              <w:bottom w:w="70" w:type="dxa"/>
              <w:left w:w="90" w:type="dxa"/>
              <w:right w:w="90" w:type="dxa"/>
            </w:tcMar>
            <w:shd w:fill="F8FAFC"/>
          </w:tcPr>
          <w:p>
            <w:pPr>
              <w:spacing w:line="276" w:lineRule="auto" w:after="0"/>
              <w:jc w:val="left"/>
            </w:pPr>
            <w:r>
              <w:rPr>
                <w:rFonts w:ascii="Calibri" w:hAnsi="Calibri"/>
                <w:color w:val="1E293B"/>
                <w:sz w:val="17"/>
              </w:rPr>
              <w:t>Hilirisasi Residu</w:t>
            </w:r>
          </w:p>
        </w:tc>
        <w:tc>
          <w:tcPr>
            <w:tcW w:type="dxa" w:w="1728"/>
            <w:tcMar>
              <w:top w:w="70" w:type="dxa"/>
              <w:bottom w:w="70" w:type="dxa"/>
              <w:left w:w="90" w:type="dxa"/>
              <w:right w:w="90" w:type="dxa"/>
            </w:tcMar>
            <w:shd w:fill="F8FAFC"/>
          </w:tcPr>
          <w:p>
            <w:pPr>
              <w:spacing w:line="276" w:lineRule="auto" w:after="0"/>
              <w:jc w:val="center"/>
            </w:pPr>
            <w:r>
              <w:rPr>
                <w:rFonts w:ascii="Calibri" w:hAnsi="Calibri"/>
                <w:color w:val="1E293B"/>
                <w:sz w:val="17"/>
              </w:rPr>
              <w:t>WasteController</w:t>
            </w:r>
          </w:p>
        </w:tc>
        <w:tc>
          <w:tcPr>
            <w:tcW w:type="dxa" w:w="2016"/>
            <w:tcMar>
              <w:top w:w="70" w:type="dxa"/>
              <w:bottom w:w="70" w:type="dxa"/>
              <w:left w:w="90" w:type="dxa"/>
              <w:right w:w="90" w:type="dxa"/>
            </w:tcMar>
            <w:shd w:fill="F8FAFC"/>
          </w:tcPr>
          <w:p>
            <w:pPr>
              <w:spacing w:line="276" w:lineRule="auto" w:after="0"/>
              <w:jc w:val="left"/>
            </w:pPr>
            <w:r>
              <w:rPr>
                <w:rFonts w:ascii="Calibri" w:hAnsi="Calibri"/>
                <w:color w:val="1E293B"/>
                <w:sz w:val="17"/>
              </w:rPr>
              <w:t>/waste</w:t>
            </w:r>
          </w:p>
        </w:tc>
        <w:tc>
          <w:tcPr>
            <w:tcW w:type="dxa" w:w="1008"/>
            <w:tcMar>
              <w:top w:w="70" w:type="dxa"/>
              <w:bottom w:w="70" w:type="dxa"/>
              <w:left w:w="90" w:type="dxa"/>
              <w:right w:w="90" w:type="dxa"/>
            </w:tcMar>
            <w:shd w:fill="F8FAFC"/>
          </w:tcPr>
          <w:p>
            <w:pPr>
              <w:spacing w:line="276" w:lineRule="auto" w:after="0"/>
              <w:jc w:val="center"/>
            </w:pPr>
            <w:r>
              <w:rPr>
                <w:rFonts w:ascii="Calibri" w:hAnsi="Calibri"/>
                <w:color w:val="1E293B"/>
                <w:sz w:val="17"/>
              </w:rPr>
              <w:t>GET/POST</w:t>
            </w:r>
          </w:p>
        </w:tc>
        <w:tc>
          <w:tcPr>
            <w:tcW w:type="dxa" w:w="2189"/>
            <w:tcMar>
              <w:top w:w="70" w:type="dxa"/>
              <w:bottom w:w="70" w:type="dxa"/>
              <w:left w:w="90" w:type="dxa"/>
              <w:right w:w="90" w:type="dxa"/>
            </w:tcMar>
            <w:shd w:fill="F8FAFC"/>
          </w:tcPr>
          <w:p>
            <w:pPr>
              <w:spacing w:line="276" w:lineRule="auto" w:after="0"/>
              <w:jc w:val="center"/>
            </w:pPr>
            <w:r>
              <w:rPr>
                <w:rFonts w:ascii="Calibri" w:hAnsi="Calibri"/>
                <w:color w:val="1E293B"/>
                <w:sz w:val="17"/>
              </w:rPr>
              <w:t>Pencatatan limbah potongan layak cladding/stepping stone dan residu lumpur bubut (m³).</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7</w:t>
            </w:r>
          </w:p>
        </w:tc>
        <w:tc>
          <w:tcPr>
            <w:tcW w:type="dxa" w:w="1728"/>
            <w:tcMar>
              <w:top w:w="70" w:type="dxa"/>
              <w:bottom w:w="70" w:type="dxa"/>
              <w:left w:w="90" w:type="dxa"/>
              <w:right w:w="90" w:type="dxa"/>
            </w:tcMar>
          </w:tcPr>
          <w:p>
            <w:pPr>
              <w:spacing w:line="276" w:lineRule="auto" w:after="0"/>
              <w:jc w:val="left"/>
            </w:pPr>
            <w:r>
              <w:rPr>
                <w:rFonts w:ascii="Calibri" w:hAnsi="Calibri"/>
                <w:color w:val="1E293B"/>
                <w:sz w:val="17"/>
              </w:rPr>
              <w:t>Distribusi &amp; Packing</w:t>
            </w:r>
          </w:p>
        </w:tc>
        <w:tc>
          <w:tcPr>
            <w:tcW w:type="dxa" w:w="1728"/>
            <w:tcMar>
              <w:top w:w="70" w:type="dxa"/>
              <w:bottom w:w="70" w:type="dxa"/>
              <w:left w:w="90" w:type="dxa"/>
              <w:right w:w="90" w:type="dxa"/>
            </w:tcMar>
          </w:tcPr>
          <w:p>
            <w:pPr>
              <w:spacing w:line="276" w:lineRule="auto" w:after="0"/>
              <w:jc w:val="center"/>
            </w:pPr>
            <w:r>
              <w:rPr>
                <w:rFonts w:ascii="Calibri" w:hAnsi="Calibri"/>
                <w:color w:val="1E293B"/>
                <w:sz w:val="17"/>
              </w:rPr>
              <w:t>DistributionController</w:t>
            </w:r>
          </w:p>
        </w:tc>
        <w:tc>
          <w:tcPr>
            <w:tcW w:type="dxa" w:w="2016"/>
            <w:tcMar>
              <w:top w:w="70" w:type="dxa"/>
              <w:bottom w:w="70" w:type="dxa"/>
              <w:left w:w="90" w:type="dxa"/>
              <w:right w:w="90" w:type="dxa"/>
            </w:tcMar>
          </w:tcPr>
          <w:p>
            <w:pPr>
              <w:spacing w:line="276" w:lineRule="auto" w:after="0"/>
              <w:jc w:val="left"/>
            </w:pPr>
            <w:r>
              <w:rPr>
                <w:rFonts w:ascii="Calibri" w:hAnsi="Calibri"/>
                <w:color w:val="1E293B"/>
                <w:sz w:val="17"/>
              </w:rPr>
              <w:t>/distribution</w:t>
              <w:br/>
              <w:t>/distribution/shipment</w:t>
            </w:r>
          </w:p>
        </w:tc>
        <w:tc>
          <w:tcPr>
            <w:tcW w:type="dxa" w:w="1008"/>
            <w:tcMar>
              <w:top w:w="70" w:type="dxa"/>
              <w:bottom w:w="70" w:type="dxa"/>
              <w:left w:w="90" w:type="dxa"/>
              <w:right w:w="90" w:type="dxa"/>
            </w:tcMar>
          </w:tcPr>
          <w:p>
            <w:pPr>
              <w:spacing w:line="276" w:lineRule="auto" w:after="0"/>
              <w:jc w:val="center"/>
            </w:pPr>
            <w:r>
              <w:rPr>
                <w:rFonts w:ascii="Calibri" w:hAnsi="Calibri"/>
                <w:color w:val="1E293B"/>
                <w:sz w:val="17"/>
              </w:rPr>
              <w:t>GET</w:t>
              <w:br/>
              <w:t>POST</w:t>
            </w:r>
          </w:p>
        </w:tc>
        <w:tc>
          <w:tcPr>
            <w:tcW w:type="dxa" w:w="2189"/>
            <w:tcMar>
              <w:top w:w="70" w:type="dxa"/>
              <w:bottom w:w="70" w:type="dxa"/>
              <w:left w:w="90" w:type="dxa"/>
              <w:right w:w="90" w:type="dxa"/>
            </w:tcMar>
          </w:tcPr>
          <w:p>
            <w:pPr>
              <w:spacing w:line="276" w:lineRule="auto" w:after="0"/>
              <w:jc w:val="center"/>
            </w:pPr>
            <w:r>
              <w:rPr>
                <w:rFonts w:ascii="Calibri" w:hAnsi="Calibri"/>
                <w:color w:val="1E293B"/>
                <w:sz w:val="17"/>
              </w:rPr>
              <w:t>Manajemen Surat Jalan (SJ), verifikasi checklist packing kayu, plat truk &amp; supir.</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8</w:t>
            </w:r>
          </w:p>
        </w:tc>
        <w:tc>
          <w:tcPr>
            <w:tcW w:type="dxa" w:w="1728"/>
            <w:tcMar>
              <w:top w:w="70" w:type="dxa"/>
              <w:bottom w:w="70" w:type="dxa"/>
              <w:left w:w="90" w:type="dxa"/>
              <w:right w:w="90" w:type="dxa"/>
            </w:tcMar>
            <w:shd w:fill="F8FAFC"/>
          </w:tcPr>
          <w:p>
            <w:pPr>
              <w:spacing w:line="276" w:lineRule="auto" w:after="0"/>
              <w:jc w:val="left"/>
            </w:pPr>
            <w:r>
              <w:rPr>
                <w:rFonts w:ascii="Calibri" w:hAnsi="Calibri"/>
                <w:color w:val="1E293B"/>
                <w:sz w:val="17"/>
              </w:rPr>
              <w:t>AI Forecasting</w:t>
            </w:r>
          </w:p>
        </w:tc>
        <w:tc>
          <w:tcPr>
            <w:tcW w:type="dxa" w:w="1728"/>
            <w:tcMar>
              <w:top w:w="70" w:type="dxa"/>
              <w:bottom w:w="70" w:type="dxa"/>
              <w:left w:w="90" w:type="dxa"/>
              <w:right w:w="90" w:type="dxa"/>
            </w:tcMar>
            <w:shd w:fill="F8FAFC"/>
          </w:tcPr>
          <w:p>
            <w:pPr>
              <w:spacing w:line="276" w:lineRule="auto" w:after="0"/>
              <w:jc w:val="center"/>
            </w:pPr>
            <w:r>
              <w:rPr>
                <w:rFonts w:ascii="Calibri" w:hAnsi="Calibri"/>
                <w:color w:val="1E293B"/>
                <w:sz w:val="17"/>
              </w:rPr>
              <w:t>ForecastingController</w:t>
            </w:r>
          </w:p>
        </w:tc>
        <w:tc>
          <w:tcPr>
            <w:tcW w:type="dxa" w:w="2016"/>
            <w:tcMar>
              <w:top w:w="70" w:type="dxa"/>
              <w:bottom w:w="70" w:type="dxa"/>
              <w:left w:w="90" w:type="dxa"/>
              <w:right w:w="90" w:type="dxa"/>
            </w:tcMar>
            <w:shd w:fill="F8FAFC"/>
          </w:tcPr>
          <w:p>
            <w:pPr>
              <w:spacing w:line="276" w:lineRule="auto" w:after="0"/>
              <w:jc w:val="left"/>
            </w:pPr>
            <w:r>
              <w:rPr>
                <w:rFonts w:ascii="Calibri" w:hAnsi="Calibri"/>
                <w:color w:val="1E293B"/>
                <w:sz w:val="17"/>
              </w:rPr>
              <w:t>/forecasting</w:t>
              <w:br/>
              <w:t>/forecasting/calculate</w:t>
            </w:r>
          </w:p>
        </w:tc>
        <w:tc>
          <w:tcPr>
            <w:tcW w:type="dxa" w:w="1008"/>
            <w:tcMar>
              <w:top w:w="70" w:type="dxa"/>
              <w:bottom w:w="70" w:type="dxa"/>
              <w:left w:w="90" w:type="dxa"/>
              <w:right w:w="90" w:type="dxa"/>
            </w:tcMar>
            <w:shd w:fill="F8FAFC"/>
          </w:tcPr>
          <w:p>
            <w:pPr>
              <w:spacing w:line="276" w:lineRule="auto" w:after="0"/>
              <w:jc w:val="center"/>
            </w:pPr>
            <w:r>
              <w:rPr>
                <w:rFonts w:ascii="Calibri" w:hAnsi="Calibri"/>
                <w:color w:val="1E293B"/>
                <w:sz w:val="17"/>
              </w:rPr>
              <w:t>GET</w:t>
              <w:br/>
              <w:t>POST</w:t>
            </w:r>
          </w:p>
        </w:tc>
        <w:tc>
          <w:tcPr>
            <w:tcW w:type="dxa" w:w="2189"/>
            <w:tcMar>
              <w:top w:w="70" w:type="dxa"/>
              <w:bottom w:w="70" w:type="dxa"/>
              <w:left w:w="90" w:type="dxa"/>
              <w:right w:w="90" w:type="dxa"/>
            </w:tcMar>
            <w:shd w:fill="F8FAFC"/>
          </w:tcPr>
          <w:p>
            <w:pPr>
              <w:spacing w:line="276" w:lineRule="auto" w:after="0"/>
              <w:jc w:val="center"/>
            </w:pPr>
            <w:r>
              <w:rPr>
                <w:rFonts w:ascii="Calibri" w:hAnsi="Calibri"/>
                <w:color w:val="1E293B"/>
                <w:sz w:val="17"/>
              </w:rPr>
              <w:t>Integrasi HTTP Client ke microservice Python FastAPI (Model Holt-Winters, MA, skor MAPE &amp; RMSE).</w:t>
            </w:r>
          </w:p>
        </w:tc>
      </w:tr>
    </w:tbl>
    <w:p>
      <w:pPr>
        <w:spacing w:after="80"/>
      </w:pPr>
    </w:p>
    <w:p>
      <w:pPr>
        <w:keepNext/>
        <w:spacing w:before="320" w:after="80"/>
      </w:pPr>
      <w:r>
        <w:rPr>
          <w:rFonts w:ascii="Calibri" w:hAnsi="Calibri"/>
          <w:b/>
          <w:color w:val="1E3A8A"/>
          <w:sz w:val="28"/>
        </w:rPr>
        <w:t>3. Formulir 7.2: Hasil Pengujian Rute &amp; Verifikasi Fungsional</w:t>
      </w:r>
    </w:p>
    <w:p>
      <w:pPr>
        <w:spacing w:line="288" w:lineRule="auto" w:after="80"/>
        <w:jc w:val="both"/>
      </w:pPr>
      <w:r>
        <w:rPr>
          <w:rFonts w:ascii="Calibri" w:hAnsi="Calibri"/>
          <w:color w:val="1E293B"/>
          <w:sz w:val="21"/>
        </w:rPr>
        <w:t>Seluruh 12 endpoint rute kunci telah diverifikasi secara otomatis menggunakan unit HTTP response testing: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310"/>
        <w:gridCol w:w="1310"/>
        <w:gridCol w:w="1310"/>
        <w:gridCol w:w="1310"/>
        <w:gridCol w:w="1310"/>
        <w:gridCol w:w="1310"/>
        <w:gridCol w:w="1310"/>
      </w:tblGrid>
      <w:tr>
        <w:tc>
          <w:tcPr>
            <w:tcW w:type="dxa" w:w="504"/>
            <w:shd w:fill="1E3A8A"/>
            <w:tcMar>
              <w:top w:w="100" w:type="dxa"/>
              <w:bottom w:w="100" w:type="dxa"/>
              <w:left w:w="100" w:type="dxa"/>
              <w:right w:w="100" w:type="dxa"/>
            </w:tcMar>
          </w:tcPr>
          <w:p>
            <w:pPr>
              <w:spacing w:line="276" w:lineRule="auto" w:after="0"/>
              <w:jc w:val="center"/>
            </w:pPr>
            <w:r>
              <w:rPr>
                <w:rFonts w:ascii="Calibri" w:hAnsi="Calibri"/>
                <w:b/>
                <w:color w:val="FFFFFF"/>
                <w:sz w:val="18"/>
              </w:rPr>
              <w:t>No</w:t>
            </w:r>
          </w:p>
        </w:tc>
        <w:tc>
          <w:tcPr>
            <w:tcW w:type="dxa" w:w="2016"/>
            <w:shd w:fill="1E3A8A"/>
            <w:tcMar>
              <w:top w:w="100" w:type="dxa"/>
              <w:bottom w:w="100" w:type="dxa"/>
              <w:left w:w="100" w:type="dxa"/>
              <w:right w:w="100" w:type="dxa"/>
            </w:tcMar>
          </w:tcPr>
          <w:p>
            <w:pPr>
              <w:spacing w:line="276" w:lineRule="auto" w:after="0"/>
              <w:jc w:val="left"/>
            </w:pPr>
            <w:r>
              <w:rPr>
                <w:rFonts w:ascii="Calibri" w:hAnsi="Calibri"/>
                <w:b/>
                <w:color w:val="FFFFFF"/>
                <w:sz w:val="18"/>
              </w:rPr>
              <w:t>Endpoint Route</w:t>
            </w:r>
          </w:p>
        </w:tc>
        <w:tc>
          <w:tcPr>
            <w:tcW w:type="dxa" w:w="1080"/>
            <w:shd w:fill="1E3A8A"/>
            <w:tcMar>
              <w:top w:w="100" w:type="dxa"/>
              <w:bottom w:w="100" w:type="dxa"/>
              <w:left w:w="100" w:type="dxa"/>
              <w:right w:w="100" w:type="dxa"/>
            </w:tcMar>
          </w:tcPr>
          <w:p>
            <w:pPr>
              <w:spacing w:line="276" w:lineRule="auto" w:after="0"/>
              <w:jc w:val="center"/>
            </w:pPr>
            <w:r>
              <w:rPr>
                <w:rFonts w:ascii="Calibri" w:hAnsi="Calibri"/>
                <w:b/>
                <w:color w:val="FFFFFF"/>
                <w:sz w:val="18"/>
              </w:rPr>
              <w:t>HTTP Method</w:t>
            </w:r>
          </w:p>
        </w:tc>
        <w:tc>
          <w:tcPr>
            <w:tcW w:type="dxa" w:w="1152"/>
            <w:shd w:fill="1E3A8A"/>
            <w:tcMar>
              <w:top w:w="100" w:type="dxa"/>
              <w:bottom w:w="100" w:type="dxa"/>
              <w:left w:w="100" w:type="dxa"/>
              <w:right w:w="100" w:type="dxa"/>
            </w:tcMar>
          </w:tcPr>
          <w:p>
            <w:pPr>
              <w:spacing w:line="276" w:lineRule="auto" w:after="0"/>
              <w:jc w:val="left"/>
            </w:pPr>
            <w:r>
              <w:rPr>
                <w:rFonts w:ascii="Calibri" w:hAnsi="Calibri"/>
                <w:b/>
                <w:color w:val="FFFFFF"/>
                <w:sz w:val="18"/>
              </w:rPr>
              <w:t>Expected Status</w:t>
            </w:r>
          </w:p>
        </w:tc>
        <w:tc>
          <w:tcPr>
            <w:tcW w:type="dxa" w:w="1152"/>
            <w:shd w:fill="1E3A8A"/>
            <w:tcMar>
              <w:top w:w="100" w:type="dxa"/>
              <w:bottom w:w="100" w:type="dxa"/>
              <w:left w:w="100" w:type="dxa"/>
              <w:right w:w="100" w:type="dxa"/>
            </w:tcMar>
          </w:tcPr>
          <w:p>
            <w:pPr>
              <w:spacing w:line="276" w:lineRule="auto" w:after="0"/>
              <w:jc w:val="center"/>
            </w:pPr>
            <w:r>
              <w:rPr>
                <w:rFonts w:ascii="Calibri" w:hAnsi="Calibri"/>
                <w:b/>
                <w:color w:val="FFFFFF"/>
                <w:sz w:val="18"/>
              </w:rPr>
              <w:t>Actual Status</w:t>
            </w:r>
          </w:p>
        </w:tc>
        <w:tc>
          <w:tcPr>
            <w:tcW w:type="dxa" w:w="2405"/>
            <w:shd w:fill="1E3A8A"/>
            <w:tcMar>
              <w:top w:w="100" w:type="dxa"/>
              <w:bottom w:w="100" w:type="dxa"/>
              <w:left w:w="100" w:type="dxa"/>
              <w:right w:w="100" w:type="dxa"/>
            </w:tcMar>
          </w:tcPr>
          <w:p>
            <w:pPr>
              <w:spacing w:line="276" w:lineRule="auto" w:after="0"/>
              <w:jc w:val="center"/>
            </w:pPr>
            <w:r>
              <w:rPr>
                <w:rFonts w:ascii="Calibri" w:hAnsi="Calibri"/>
                <w:b/>
                <w:color w:val="FFFFFF"/>
                <w:sz w:val="18"/>
              </w:rPr>
              <w:t>Hasil Respon &amp; Komponen</w:t>
            </w:r>
          </w:p>
        </w:tc>
        <w:tc>
          <w:tcPr>
            <w:tcW w:type="dxa" w:w="864"/>
            <w:shd w:fill="1E3A8A"/>
            <w:tcMar>
              <w:top w:w="100" w:type="dxa"/>
              <w:bottom w:w="100" w:type="dxa"/>
              <w:left w:w="100" w:type="dxa"/>
              <w:right w:w="100" w:type="dxa"/>
            </w:tcMar>
          </w:tcPr>
          <w:p>
            <w:pPr>
              <w:spacing w:line="276" w:lineRule="auto" w:after="0"/>
              <w:jc w:val="left"/>
            </w:pPr>
            <w:r>
              <w:rPr>
                <w:rFonts w:ascii="Calibri" w:hAnsi="Calibri"/>
                <w:b/>
                <w:color w:val="FFFFFF"/>
                <w:sz w:val="18"/>
              </w:rPr>
              <w:t>Status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1</w:t>
            </w:r>
          </w:p>
        </w:tc>
        <w:tc>
          <w:tcPr>
            <w:tcW w:type="dxa" w:w="2016"/>
            <w:tcMar>
              <w:top w:w="70" w:type="dxa"/>
              <w:bottom w:w="70" w:type="dxa"/>
              <w:left w:w="90" w:type="dxa"/>
              <w:right w:w="90" w:type="dxa"/>
            </w:tcMar>
          </w:tcPr>
          <w:p>
            <w:pPr>
              <w:spacing w:line="276" w:lineRule="auto" w:after="0"/>
              <w:jc w:val="left"/>
            </w:pPr>
            <w:r>
              <w:rPr>
                <w:rFonts w:ascii="Consolas" w:hAnsi="Consolas"/>
                <w:b/>
                <w:color w:val="1E293B"/>
                <w:sz w:val="16"/>
              </w:rPr>
              <w:t>/login</w:t>
            </w:r>
          </w:p>
        </w:tc>
        <w:tc>
          <w:tcPr>
            <w:tcW w:type="dxa" w:w="1080"/>
            <w:tcMar>
              <w:top w:w="70" w:type="dxa"/>
              <w:bottom w:w="70" w:type="dxa"/>
              <w:left w:w="90" w:type="dxa"/>
              <w:right w:w="90" w:type="dxa"/>
            </w:tcMar>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tcPr>
          <w:p>
            <w:pPr>
              <w:spacing w:line="276" w:lineRule="auto" w:after="0"/>
              <w:jc w:val="center"/>
            </w:pPr>
            <w:r>
              <w:rPr>
                <w:rFonts w:ascii="Calibri" w:hAnsi="Calibri"/>
                <w:color w:val="1E293B"/>
                <w:sz w:val="17"/>
              </w:rPr>
              <w:t>Blade login view rendered cleanly with CSRF token</w:t>
            </w:r>
          </w:p>
        </w:tc>
        <w:tc>
          <w:tcPr>
            <w:tcW w:type="dxa" w:w="864"/>
            <w:tcMar>
              <w:top w:w="70" w:type="dxa"/>
              <w:bottom w:w="70" w:type="dxa"/>
              <w:left w:w="90" w:type="dxa"/>
              <w:right w:w="90" w:type="dxa"/>
            </w:tcMar>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2</w:t>
            </w:r>
          </w:p>
        </w:tc>
        <w:tc>
          <w:tcPr>
            <w:tcW w:type="dxa" w:w="2016"/>
            <w:tcMar>
              <w:top w:w="70" w:type="dxa"/>
              <w:bottom w:w="70" w:type="dxa"/>
              <w:left w:w="90" w:type="dxa"/>
              <w:right w:w="90" w:type="dxa"/>
            </w:tcMar>
            <w:shd w:fill="F8FAFC"/>
          </w:tcPr>
          <w:p>
            <w:pPr>
              <w:spacing w:line="276" w:lineRule="auto" w:after="0"/>
              <w:jc w:val="left"/>
            </w:pPr>
            <w:r>
              <w:rPr>
                <w:rFonts w:ascii="Consolas" w:hAnsi="Consolas"/>
                <w:b/>
                <w:color w:val="1E293B"/>
                <w:sz w:val="16"/>
              </w:rPr>
              <w:t>/dashboard</w:t>
            </w:r>
          </w:p>
        </w:tc>
        <w:tc>
          <w:tcPr>
            <w:tcW w:type="dxa" w:w="1080"/>
            <w:tcMar>
              <w:top w:w="70" w:type="dxa"/>
              <w:bottom w:w="70" w:type="dxa"/>
              <w:left w:w="90" w:type="dxa"/>
              <w:right w:w="90" w:type="dxa"/>
            </w:tcMar>
            <w:shd w:fill="F8FAFC"/>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shd w:fill="F8FAFC"/>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shd w:fill="F8FAFC"/>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shd w:fill="F8FAFC"/>
          </w:tcPr>
          <w:p>
            <w:pPr>
              <w:spacing w:line="276" w:lineRule="auto" w:after="0"/>
              <w:jc w:val="center"/>
            </w:pPr>
            <w:r>
              <w:rPr>
                <w:rFonts w:ascii="Calibri" w:hAnsi="Calibri"/>
                <w:color w:val="1E293B"/>
                <w:sz w:val="17"/>
              </w:rPr>
              <w:t>Aggregated 4 KPI cards, chart datasets, and critical tables</w:t>
            </w:r>
          </w:p>
        </w:tc>
        <w:tc>
          <w:tcPr>
            <w:tcW w:type="dxa" w:w="864"/>
            <w:tcMar>
              <w:top w:w="70" w:type="dxa"/>
              <w:bottom w:w="70" w:type="dxa"/>
              <w:left w:w="90" w:type="dxa"/>
              <w:right w:w="90" w:type="dxa"/>
            </w:tcMar>
            <w:shd w:fill="F8FAFC"/>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3</w:t>
            </w:r>
          </w:p>
        </w:tc>
        <w:tc>
          <w:tcPr>
            <w:tcW w:type="dxa" w:w="2016"/>
            <w:tcMar>
              <w:top w:w="70" w:type="dxa"/>
              <w:bottom w:w="70" w:type="dxa"/>
              <w:left w:w="90" w:type="dxa"/>
              <w:right w:w="90" w:type="dxa"/>
            </w:tcMar>
          </w:tcPr>
          <w:p>
            <w:pPr>
              <w:spacing w:line="276" w:lineRule="auto" w:after="0"/>
              <w:jc w:val="left"/>
            </w:pPr>
            <w:r>
              <w:rPr>
                <w:rFonts w:ascii="Consolas" w:hAnsi="Consolas"/>
                <w:b/>
                <w:color w:val="1E293B"/>
                <w:sz w:val="16"/>
              </w:rPr>
              <w:t>/supply-chain-flow</w:t>
            </w:r>
          </w:p>
        </w:tc>
        <w:tc>
          <w:tcPr>
            <w:tcW w:type="dxa" w:w="1080"/>
            <w:tcMar>
              <w:top w:w="70" w:type="dxa"/>
              <w:bottom w:w="70" w:type="dxa"/>
              <w:left w:w="90" w:type="dxa"/>
              <w:right w:w="90" w:type="dxa"/>
            </w:tcMar>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tcPr>
          <w:p>
            <w:pPr>
              <w:spacing w:line="276" w:lineRule="auto" w:after="0"/>
              <w:jc w:val="center"/>
            </w:pPr>
            <w:r>
              <w:rPr>
                <w:rFonts w:ascii="Calibri" w:hAnsi="Calibri"/>
                <w:color w:val="1E293B"/>
                <w:sz w:val="17"/>
              </w:rPr>
              <w:t>8 Stages interactive flow rendered with active nodes</w:t>
            </w:r>
          </w:p>
        </w:tc>
        <w:tc>
          <w:tcPr>
            <w:tcW w:type="dxa" w:w="864"/>
            <w:tcMar>
              <w:top w:w="70" w:type="dxa"/>
              <w:bottom w:w="70" w:type="dxa"/>
              <w:left w:w="90" w:type="dxa"/>
              <w:right w:w="90" w:type="dxa"/>
            </w:tcMar>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4</w:t>
            </w:r>
          </w:p>
        </w:tc>
        <w:tc>
          <w:tcPr>
            <w:tcW w:type="dxa" w:w="2016"/>
            <w:tcMar>
              <w:top w:w="70" w:type="dxa"/>
              <w:bottom w:w="70" w:type="dxa"/>
              <w:left w:w="90" w:type="dxa"/>
              <w:right w:w="90" w:type="dxa"/>
            </w:tcMar>
            <w:shd w:fill="F8FAFC"/>
          </w:tcPr>
          <w:p>
            <w:pPr>
              <w:spacing w:line="276" w:lineRule="auto" w:after="0"/>
              <w:jc w:val="left"/>
            </w:pPr>
            <w:r>
              <w:rPr>
                <w:rFonts w:ascii="Consolas" w:hAnsi="Consolas"/>
                <w:b/>
                <w:color w:val="1E293B"/>
                <w:sz w:val="16"/>
              </w:rPr>
              <w:t>/materials</w:t>
            </w:r>
          </w:p>
        </w:tc>
        <w:tc>
          <w:tcPr>
            <w:tcW w:type="dxa" w:w="1080"/>
            <w:tcMar>
              <w:top w:w="70" w:type="dxa"/>
              <w:bottom w:w="70" w:type="dxa"/>
              <w:left w:w="90" w:type="dxa"/>
              <w:right w:w="90" w:type="dxa"/>
            </w:tcMar>
            <w:shd w:fill="F8FAFC"/>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shd w:fill="F8FAFC"/>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shd w:fill="F8FAFC"/>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shd w:fill="F8FAFC"/>
          </w:tcPr>
          <w:p>
            <w:pPr>
              <w:spacing w:line="276" w:lineRule="auto" w:after="0"/>
              <w:jc w:val="center"/>
            </w:pPr>
            <w:r>
              <w:rPr>
                <w:rFonts w:ascii="Calibri" w:hAnsi="Calibri"/>
                <w:color w:val="1E293B"/>
                <w:sz w:val="17"/>
              </w:rPr>
              <w:t>Paginated inventory table, filter grade, &amp; quick transaction modal</w:t>
            </w:r>
          </w:p>
        </w:tc>
        <w:tc>
          <w:tcPr>
            <w:tcW w:type="dxa" w:w="864"/>
            <w:tcMar>
              <w:top w:w="70" w:type="dxa"/>
              <w:bottom w:w="70" w:type="dxa"/>
              <w:left w:w="90" w:type="dxa"/>
              <w:right w:w="90" w:type="dxa"/>
            </w:tcMar>
            <w:shd w:fill="F8FAFC"/>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5</w:t>
            </w:r>
          </w:p>
        </w:tc>
        <w:tc>
          <w:tcPr>
            <w:tcW w:type="dxa" w:w="2016"/>
            <w:tcMar>
              <w:top w:w="70" w:type="dxa"/>
              <w:bottom w:w="70" w:type="dxa"/>
              <w:left w:w="90" w:type="dxa"/>
              <w:right w:w="90" w:type="dxa"/>
            </w:tcMar>
          </w:tcPr>
          <w:p>
            <w:pPr>
              <w:spacing w:line="276" w:lineRule="auto" w:after="0"/>
              <w:jc w:val="left"/>
            </w:pPr>
            <w:r>
              <w:rPr>
                <w:rFonts w:ascii="Consolas" w:hAnsi="Consolas"/>
                <w:b/>
                <w:color w:val="1E293B"/>
                <w:sz w:val="16"/>
              </w:rPr>
              <w:t>/production/kanban</w:t>
            </w:r>
          </w:p>
        </w:tc>
        <w:tc>
          <w:tcPr>
            <w:tcW w:type="dxa" w:w="1080"/>
            <w:tcMar>
              <w:top w:w="70" w:type="dxa"/>
              <w:bottom w:w="70" w:type="dxa"/>
              <w:left w:w="90" w:type="dxa"/>
              <w:right w:w="90" w:type="dxa"/>
            </w:tcMar>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tcPr>
          <w:p>
            <w:pPr>
              <w:spacing w:line="276" w:lineRule="auto" w:after="0"/>
              <w:jc w:val="center"/>
            </w:pPr>
            <w:r>
              <w:rPr>
                <w:rFonts w:ascii="Calibri" w:hAnsi="Calibri"/>
                <w:color w:val="1E293B"/>
                <w:sz w:val="17"/>
              </w:rPr>
              <w:t>5 Columns loaded with active Work Order cards</w:t>
            </w:r>
          </w:p>
        </w:tc>
        <w:tc>
          <w:tcPr>
            <w:tcW w:type="dxa" w:w="864"/>
            <w:tcMar>
              <w:top w:w="70" w:type="dxa"/>
              <w:bottom w:w="70" w:type="dxa"/>
              <w:left w:w="90" w:type="dxa"/>
              <w:right w:w="90" w:type="dxa"/>
            </w:tcMar>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6</w:t>
            </w:r>
          </w:p>
        </w:tc>
        <w:tc>
          <w:tcPr>
            <w:tcW w:type="dxa" w:w="2016"/>
            <w:tcMar>
              <w:top w:w="70" w:type="dxa"/>
              <w:bottom w:w="70" w:type="dxa"/>
              <w:left w:w="90" w:type="dxa"/>
              <w:right w:w="90" w:type="dxa"/>
            </w:tcMar>
            <w:shd w:fill="F8FAFC"/>
          </w:tcPr>
          <w:p>
            <w:pPr>
              <w:spacing w:line="276" w:lineRule="auto" w:after="0"/>
              <w:jc w:val="left"/>
            </w:pPr>
            <w:r>
              <w:rPr>
                <w:rFonts w:ascii="Consolas" w:hAnsi="Consolas"/>
                <w:b/>
                <w:color w:val="1E293B"/>
                <w:sz w:val="16"/>
              </w:rPr>
              <w:t>/production/wip</w:t>
            </w:r>
          </w:p>
        </w:tc>
        <w:tc>
          <w:tcPr>
            <w:tcW w:type="dxa" w:w="1080"/>
            <w:tcMar>
              <w:top w:w="70" w:type="dxa"/>
              <w:bottom w:w="70" w:type="dxa"/>
              <w:left w:w="90" w:type="dxa"/>
              <w:right w:w="90" w:type="dxa"/>
            </w:tcMar>
            <w:shd w:fill="F8FAFC"/>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shd w:fill="F8FAFC"/>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shd w:fill="F8FAFC"/>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shd w:fill="F8FAFC"/>
          </w:tcPr>
          <w:p>
            <w:pPr>
              <w:spacing w:line="276" w:lineRule="auto" w:after="0"/>
              <w:jc w:val="center"/>
            </w:pPr>
            <w:r>
              <w:rPr>
                <w:rFonts w:ascii="Calibri" w:hAnsi="Calibri"/>
                <w:color w:val="1E293B"/>
                <w:sz w:val="17"/>
              </w:rPr>
              <w:t>Lathe machines utilization and active step tracking</w:t>
            </w:r>
          </w:p>
        </w:tc>
        <w:tc>
          <w:tcPr>
            <w:tcW w:type="dxa" w:w="864"/>
            <w:tcMar>
              <w:top w:w="70" w:type="dxa"/>
              <w:bottom w:w="70" w:type="dxa"/>
              <w:left w:w="90" w:type="dxa"/>
              <w:right w:w="90" w:type="dxa"/>
            </w:tcMar>
            <w:shd w:fill="F8FAFC"/>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7</w:t>
            </w:r>
          </w:p>
        </w:tc>
        <w:tc>
          <w:tcPr>
            <w:tcW w:type="dxa" w:w="2016"/>
            <w:tcMar>
              <w:top w:w="70" w:type="dxa"/>
              <w:bottom w:w="70" w:type="dxa"/>
              <w:left w:w="90" w:type="dxa"/>
              <w:right w:w="90" w:type="dxa"/>
            </w:tcMar>
          </w:tcPr>
          <w:p>
            <w:pPr>
              <w:spacing w:line="276" w:lineRule="auto" w:after="0"/>
              <w:jc w:val="left"/>
            </w:pPr>
            <w:r>
              <w:rPr>
                <w:rFonts w:ascii="Consolas" w:hAnsi="Consolas"/>
                <w:b/>
                <w:color w:val="1E293B"/>
                <w:sz w:val="16"/>
              </w:rPr>
              <w:t>/qc</w:t>
            </w:r>
          </w:p>
        </w:tc>
        <w:tc>
          <w:tcPr>
            <w:tcW w:type="dxa" w:w="1080"/>
            <w:tcMar>
              <w:top w:w="70" w:type="dxa"/>
              <w:bottom w:w="70" w:type="dxa"/>
              <w:left w:w="90" w:type="dxa"/>
              <w:right w:w="90" w:type="dxa"/>
            </w:tcMar>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tcPr>
          <w:p>
            <w:pPr>
              <w:spacing w:line="276" w:lineRule="auto" w:after="0"/>
              <w:jc w:val="center"/>
            </w:pPr>
            <w:r>
              <w:rPr>
                <w:rFonts w:ascii="Calibri" w:hAnsi="Calibri"/>
                <w:color w:val="1E293B"/>
                <w:sz w:val="17"/>
              </w:rPr>
              <w:t>Two-stage inspection form rendered with validation rules</w:t>
            </w:r>
          </w:p>
        </w:tc>
        <w:tc>
          <w:tcPr>
            <w:tcW w:type="dxa" w:w="864"/>
            <w:tcMar>
              <w:top w:w="70" w:type="dxa"/>
              <w:bottom w:w="70" w:type="dxa"/>
              <w:left w:w="90" w:type="dxa"/>
              <w:right w:w="90" w:type="dxa"/>
            </w:tcMar>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8</w:t>
            </w:r>
          </w:p>
        </w:tc>
        <w:tc>
          <w:tcPr>
            <w:tcW w:type="dxa" w:w="2016"/>
            <w:tcMar>
              <w:top w:w="70" w:type="dxa"/>
              <w:bottom w:w="70" w:type="dxa"/>
              <w:left w:w="90" w:type="dxa"/>
              <w:right w:w="90" w:type="dxa"/>
            </w:tcMar>
            <w:shd w:fill="F8FAFC"/>
          </w:tcPr>
          <w:p>
            <w:pPr>
              <w:spacing w:line="276" w:lineRule="auto" w:after="0"/>
              <w:jc w:val="left"/>
            </w:pPr>
            <w:r>
              <w:rPr>
                <w:rFonts w:ascii="Consolas" w:hAnsi="Consolas"/>
                <w:b/>
                <w:color w:val="1E293B"/>
                <w:sz w:val="16"/>
              </w:rPr>
              <w:t>/waste</w:t>
            </w:r>
          </w:p>
        </w:tc>
        <w:tc>
          <w:tcPr>
            <w:tcW w:type="dxa" w:w="1080"/>
            <w:tcMar>
              <w:top w:w="70" w:type="dxa"/>
              <w:bottom w:w="70" w:type="dxa"/>
              <w:left w:w="90" w:type="dxa"/>
              <w:right w:w="90" w:type="dxa"/>
            </w:tcMar>
            <w:shd w:fill="F8FAFC"/>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shd w:fill="F8FAFC"/>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shd w:fill="F8FAFC"/>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shd w:fill="F8FAFC"/>
          </w:tcPr>
          <w:p>
            <w:pPr>
              <w:spacing w:line="276" w:lineRule="auto" w:after="0"/>
              <w:jc w:val="center"/>
            </w:pPr>
            <w:r>
              <w:rPr>
                <w:rFonts w:ascii="Calibri" w:hAnsi="Calibri"/>
                <w:color w:val="1E293B"/>
                <w:sz w:val="17"/>
              </w:rPr>
              <w:t>Residue logs and by-product utilization table loaded</w:t>
            </w:r>
          </w:p>
        </w:tc>
        <w:tc>
          <w:tcPr>
            <w:tcW w:type="dxa" w:w="864"/>
            <w:tcMar>
              <w:top w:w="70" w:type="dxa"/>
              <w:bottom w:w="70" w:type="dxa"/>
              <w:left w:w="90" w:type="dxa"/>
              <w:right w:w="90" w:type="dxa"/>
            </w:tcMar>
            <w:shd w:fill="F8FAFC"/>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9</w:t>
            </w:r>
          </w:p>
        </w:tc>
        <w:tc>
          <w:tcPr>
            <w:tcW w:type="dxa" w:w="2016"/>
            <w:tcMar>
              <w:top w:w="70" w:type="dxa"/>
              <w:bottom w:w="70" w:type="dxa"/>
              <w:left w:w="90" w:type="dxa"/>
              <w:right w:w="90" w:type="dxa"/>
            </w:tcMar>
          </w:tcPr>
          <w:p>
            <w:pPr>
              <w:spacing w:line="276" w:lineRule="auto" w:after="0"/>
              <w:jc w:val="left"/>
            </w:pPr>
            <w:r>
              <w:rPr>
                <w:rFonts w:ascii="Consolas" w:hAnsi="Consolas"/>
                <w:b/>
                <w:color w:val="1E293B"/>
                <w:sz w:val="16"/>
              </w:rPr>
              <w:t>/distribution</w:t>
            </w:r>
          </w:p>
        </w:tc>
        <w:tc>
          <w:tcPr>
            <w:tcW w:type="dxa" w:w="1080"/>
            <w:tcMar>
              <w:top w:w="70" w:type="dxa"/>
              <w:bottom w:w="70" w:type="dxa"/>
              <w:left w:w="90" w:type="dxa"/>
              <w:right w:w="90" w:type="dxa"/>
            </w:tcMar>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tcPr>
          <w:p>
            <w:pPr>
              <w:spacing w:line="276" w:lineRule="auto" w:after="0"/>
              <w:jc w:val="center"/>
            </w:pPr>
            <w:r>
              <w:rPr>
                <w:rFonts w:ascii="Calibri" w:hAnsi="Calibri"/>
                <w:color w:val="1E293B"/>
                <w:sz w:val="17"/>
              </w:rPr>
              <w:t>Shipment list loaded with crate packing checklist state</w:t>
            </w:r>
          </w:p>
        </w:tc>
        <w:tc>
          <w:tcPr>
            <w:tcW w:type="dxa" w:w="864"/>
            <w:tcMar>
              <w:top w:w="70" w:type="dxa"/>
              <w:bottom w:w="70" w:type="dxa"/>
              <w:left w:w="90" w:type="dxa"/>
              <w:right w:w="90" w:type="dxa"/>
            </w:tcMar>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10</w:t>
            </w:r>
          </w:p>
        </w:tc>
        <w:tc>
          <w:tcPr>
            <w:tcW w:type="dxa" w:w="2016"/>
            <w:tcMar>
              <w:top w:w="70" w:type="dxa"/>
              <w:bottom w:w="70" w:type="dxa"/>
              <w:left w:w="90" w:type="dxa"/>
              <w:right w:w="90" w:type="dxa"/>
            </w:tcMar>
            <w:shd w:fill="F8FAFC"/>
          </w:tcPr>
          <w:p>
            <w:pPr>
              <w:spacing w:line="276" w:lineRule="auto" w:after="0"/>
              <w:jc w:val="left"/>
            </w:pPr>
            <w:r>
              <w:rPr>
                <w:rFonts w:ascii="Consolas" w:hAnsi="Consolas"/>
                <w:b/>
                <w:color w:val="1E293B"/>
                <w:sz w:val="16"/>
              </w:rPr>
              <w:t>/forecasting</w:t>
            </w:r>
          </w:p>
        </w:tc>
        <w:tc>
          <w:tcPr>
            <w:tcW w:type="dxa" w:w="1080"/>
            <w:tcMar>
              <w:top w:w="70" w:type="dxa"/>
              <w:bottom w:w="70" w:type="dxa"/>
              <w:left w:w="90" w:type="dxa"/>
              <w:right w:w="90" w:type="dxa"/>
            </w:tcMar>
            <w:shd w:fill="F8FAFC"/>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shd w:fill="F8FAFC"/>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shd w:fill="F8FAFC"/>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shd w:fill="F8FAFC"/>
          </w:tcPr>
          <w:p>
            <w:pPr>
              <w:spacing w:line="276" w:lineRule="auto" w:after="0"/>
              <w:jc w:val="center"/>
            </w:pPr>
            <w:r>
              <w:rPr>
                <w:rFonts w:ascii="Calibri" w:hAnsi="Calibri"/>
                <w:color w:val="1E293B"/>
                <w:sz w:val="17"/>
              </w:rPr>
              <w:t>AI forecast curve visualizer rendered with MAPE &amp; RMSE metrics</w:t>
            </w:r>
          </w:p>
        </w:tc>
        <w:tc>
          <w:tcPr>
            <w:tcW w:type="dxa" w:w="864"/>
            <w:tcMar>
              <w:top w:w="70" w:type="dxa"/>
              <w:bottom w:w="70" w:type="dxa"/>
              <w:left w:w="90" w:type="dxa"/>
              <w:right w:w="90" w:type="dxa"/>
            </w:tcMar>
            <w:shd w:fill="F8FAFC"/>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tcPr>
          <w:p>
            <w:pPr>
              <w:spacing w:line="276" w:lineRule="auto" w:after="0"/>
              <w:jc w:val="center"/>
            </w:pPr>
            <w:r>
              <w:rPr>
                <w:rFonts w:ascii="Calibri" w:hAnsi="Calibri"/>
                <w:color w:val="1E293B"/>
                <w:sz w:val="17"/>
              </w:rPr>
              <w:t>11</w:t>
            </w:r>
          </w:p>
        </w:tc>
        <w:tc>
          <w:tcPr>
            <w:tcW w:type="dxa" w:w="2016"/>
            <w:tcMar>
              <w:top w:w="70" w:type="dxa"/>
              <w:bottom w:w="70" w:type="dxa"/>
              <w:left w:w="90" w:type="dxa"/>
              <w:right w:w="90" w:type="dxa"/>
            </w:tcMar>
          </w:tcPr>
          <w:p>
            <w:pPr>
              <w:spacing w:line="276" w:lineRule="auto" w:after="0"/>
              <w:jc w:val="left"/>
            </w:pPr>
            <w:r>
              <w:rPr>
                <w:rFonts w:ascii="Consolas" w:hAnsi="Consolas"/>
                <w:b/>
                <w:color w:val="1E293B"/>
                <w:sz w:val="16"/>
              </w:rPr>
              <w:t>/reports</w:t>
            </w:r>
          </w:p>
        </w:tc>
        <w:tc>
          <w:tcPr>
            <w:tcW w:type="dxa" w:w="1080"/>
            <w:tcMar>
              <w:top w:w="70" w:type="dxa"/>
              <w:bottom w:w="70" w:type="dxa"/>
              <w:left w:w="90" w:type="dxa"/>
              <w:right w:w="90" w:type="dxa"/>
            </w:tcMar>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tcPr>
          <w:p>
            <w:pPr>
              <w:spacing w:line="276" w:lineRule="auto" w:after="0"/>
              <w:jc w:val="center"/>
            </w:pPr>
            <w:r>
              <w:rPr>
                <w:rFonts w:ascii="Calibri" w:hAnsi="Calibri"/>
                <w:color w:val="1E293B"/>
                <w:sz w:val="17"/>
              </w:rPr>
              <w:t>PCE (64.58%) and supply chain efficiency analytics ready</w:t>
            </w:r>
          </w:p>
        </w:tc>
        <w:tc>
          <w:tcPr>
            <w:tcW w:type="dxa" w:w="864"/>
            <w:tcMar>
              <w:top w:w="70" w:type="dxa"/>
              <w:bottom w:w="70" w:type="dxa"/>
              <w:left w:w="90" w:type="dxa"/>
              <w:right w:w="90" w:type="dxa"/>
            </w:tcMar>
            <w:shd w:fill="D1FAE5"/>
          </w:tcPr>
          <w:p>
            <w:pPr>
              <w:spacing w:line="276" w:lineRule="auto" w:after="0"/>
              <w:jc w:val="center"/>
            </w:pPr>
            <w:r>
              <w:rPr>
                <w:rFonts w:ascii="Calibri" w:hAnsi="Calibri"/>
                <w:b/>
                <w:color w:val="065F46"/>
                <w:sz w:val="17"/>
              </w:rPr>
              <w:t>PASS</w:t>
            </w:r>
          </w:p>
        </w:tc>
      </w:tr>
      <w:tr>
        <w:tc>
          <w:tcPr>
            <w:tcW w:type="dxa" w:w="504"/>
            <w:tcMar>
              <w:top w:w="70" w:type="dxa"/>
              <w:bottom w:w="70" w:type="dxa"/>
              <w:left w:w="90" w:type="dxa"/>
              <w:right w:w="90" w:type="dxa"/>
            </w:tcMar>
            <w:shd w:fill="F8FAFC"/>
          </w:tcPr>
          <w:p>
            <w:pPr>
              <w:spacing w:line="276" w:lineRule="auto" w:after="0"/>
              <w:jc w:val="center"/>
            </w:pPr>
            <w:r>
              <w:rPr>
                <w:rFonts w:ascii="Calibri" w:hAnsi="Calibri"/>
                <w:color w:val="1E293B"/>
                <w:sz w:val="17"/>
              </w:rPr>
              <w:t>12</w:t>
            </w:r>
          </w:p>
        </w:tc>
        <w:tc>
          <w:tcPr>
            <w:tcW w:type="dxa" w:w="2016"/>
            <w:tcMar>
              <w:top w:w="70" w:type="dxa"/>
              <w:bottom w:w="70" w:type="dxa"/>
              <w:left w:w="90" w:type="dxa"/>
              <w:right w:w="90" w:type="dxa"/>
            </w:tcMar>
            <w:shd w:fill="F8FAFC"/>
          </w:tcPr>
          <w:p>
            <w:pPr>
              <w:spacing w:line="276" w:lineRule="auto" w:after="0"/>
              <w:jc w:val="left"/>
            </w:pPr>
            <w:r>
              <w:rPr>
                <w:rFonts w:ascii="Consolas" w:hAnsi="Consolas"/>
                <w:b/>
                <w:color w:val="1E293B"/>
                <w:sz w:val="16"/>
              </w:rPr>
              <w:t>/api/health</w:t>
            </w:r>
          </w:p>
        </w:tc>
        <w:tc>
          <w:tcPr>
            <w:tcW w:type="dxa" w:w="1080"/>
            <w:tcMar>
              <w:top w:w="70" w:type="dxa"/>
              <w:bottom w:w="70" w:type="dxa"/>
              <w:left w:w="90" w:type="dxa"/>
              <w:right w:w="90" w:type="dxa"/>
            </w:tcMar>
            <w:shd w:fill="F8FAFC"/>
          </w:tcPr>
          <w:p>
            <w:pPr>
              <w:spacing w:line="276" w:lineRule="auto" w:after="0"/>
              <w:jc w:val="center"/>
            </w:pPr>
            <w:r>
              <w:rPr>
                <w:rFonts w:ascii="Calibri" w:hAnsi="Calibri"/>
                <w:color w:val="1E293B"/>
                <w:sz w:val="17"/>
              </w:rPr>
              <w:t>GET</w:t>
            </w:r>
          </w:p>
        </w:tc>
        <w:tc>
          <w:tcPr>
            <w:tcW w:type="dxa" w:w="1152"/>
            <w:tcMar>
              <w:top w:w="70" w:type="dxa"/>
              <w:bottom w:w="70" w:type="dxa"/>
              <w:left w:w="90" w:type="dxa"/>
              <w:right w:w="90" w:type="dxa"/>
            </w:tcMar>
            <w:shd w:fill="F8FAFC"/>
          </w:tcPr>
          <w:p>
            <w:pPr>
              <w:spacing w:line="276" w:lineRule="auto" w:after="0"/>
              <w:jc w:val="left"/>
            </w:pPr>
            <w:r>
              <w:rPr>
                <w:rFonts w:ascii="Calibri" w:hAnsi="Calibri"/>
                <w:color w:val="1E293B"/>
                <w:sz w:val="17"/>
              </w:rPr>
              <w:t>200 OK</w:t>
            </w:r>
          </w:p>
        </w:tc>
        <w:tc>
          <w:tcPr>
            <w:tcW w:type="dxa" w:w="1152"/>
            <w:tcMar>
              <w:top w:w="70" w:type="dxa"/>
              <w:bottom w:w="70" w:type="dxa"/>
              <w:left w:w="90" w:type="dxa"/>
              <w:right w:w="90" w:type="dxa"/>
            </w:tcMar>
            <w:shd w:fill="F8FAFC"/>
          </w:tcPr>
          <w:p>
            <w:pPr>
              <w:spacing w:line="276" w:lineRule="auto" w:after="0"/>
              <w:jc w:val="center"/>
            </w:pPr>
            <w:r>
              <w:rPr>
                <w:rFonts w:ascii="Calibri" w:hAnsi="Calibri"/>
                <w:color w:val="1E293B"/>
                <w:sz w:val="17"/>
              </w:rPr>
              <w:t>200 OK</w:t>
            </w:r>
          </w:p>
        </w:tc>
        <w:tc>
          <w:tcPr>
            <w:tcW w:type="dxa" w:w="2405"/>
            <w:tcMar>
              <w:top w:w="70" w:type="dxa"/>
              <w:bottom w:w="70" w:type="dxa"/>
              <w:left w:w="90" w:type="dxa"/>
              <w:right w:w="90" w:type="dxa"/>
            </w:tcMar>
            <w:shd w:fill="F8FAFC"/>
          </w:tcPr>
          <w:p>
            <w:pPr>
              <w:spacing w:line="276" w:lineRule="auto" w:after="0"/>
              <w:jc w:val="center"/>
            </w:pPr>
            <w:r>
              <w:rPr>
                <w:rFonts w:ascii="Calibri" w:hAnsi="Calibri"/>
                <w:color w:val="1E293B"/>
                <w:sz w:val="17"/>
              </w:rPr>
              <w:t>JSON status online from microservice gateway</w:t>
            </w:r>
          </w:p>
        </w:tc>
        <w:tc>
          <w:tcPr>
            <w:tcW w:type="dxa" w:w="864"/>
            <w:tcMar>
              <w:top w:w="70" w:type="dxa"/>
              <w:bottom w:w="70" w:type="dxa"/>
              <w:left w:w="90" w:type="dxa"/>
              <w:right w:w="90" w:type="dxa"/>
            </w:tcMar>
            <w:shd w:fill="F8FAFC"/>
            <w:shd w:fill="D1FAE5"/>
          </w:tcPr>
          <w:p>
            <w:pPr>
              <w:spacing w:line="276" w:lineRule="auto" w:after="0"/>
              <w:jc w:val="center"/>
            </w:pPr>
            <w:r>
              <w:rPr>
                <w:rFonts w:ascii="Calibri" w:hAnsi="Calibri"/>
                <w:b/>
                <w:color w:val="065F46"/>
                <w:sz w:val="17"/>
              </w:rPr>
              <w:t>PASS</w:t>
            </w:r>
          </w:p>
        </w:tc>
      </w:tr>
    </w:tbl>
    <w:p>
      <w:pPr>
        <w:spacing w:after="80"/>
      </w:pPr>
    </w:p>
    <w:p>
      <w:pPr>
        <w:keepNext/>
        <w:spacing w:before="320" w:after="80"/>
      </w:pPr>
      <w:r>
        <w:rPr>
          <w:rFonts w:ascii="Calibri" w:hAnsi="Calibri"/>
          <w:b/>
          <w:color w:val="1E3A8A"/>
          <w:sz w:val="28"/>
        </w:rPr>
        <w:t>4. Kesimpulan &amp; Rekomendasi Tahap Berikutnya</w:t>
      </w:r>
    </w:p>
    <w:p>
      <w:pPr>
        <w:spacing w:line="288" w:lineRule="auto" w:after="80"/>
        <w:jc w:val="both"/>
      </w:pPr>
      <w:r>
        <w:rPr>
          <w:rFonts w:ascii="Calibri" w:hAnsi="Calibri"/>
          <w:color w:val="1E293B"/>
          <w:sz w:val="21"/>
        </w:rPr>
        <w:t>Pengkodean modul backend Laravel pada Kegiatan 7 telah diselesaikan dengan standar kode bersih (Clean Code Architecture) dan kepatuhan penuh terhadap aturan keamanan konfigurasi sistem.</w:t>
      </w:r>
    </w:p>
    <w:p>
      <w:pPr>
        <w:pStyle w:val="ListBullet"/>
        <w:spacing w:line="288" w:lineRule="auto" w:after="80"/>
        <w:jc w:val="both"/>
      </w:pPr>
      <w:r>
        <w:rPr>
          <w:rFonts w:ascii="Calibri" w:hAnsi="Calibri"/>
          <w:color w:val="1E293B"/>
          <w:sz w:val="21"/>
        </w:rPr>
        <w:t>Langkah Selanjutnya (Kegiatan 8 &amp; 9): Menjalankan microservice Python FastAPI secara penuh dan menguji koneksi live payload prediksi peramalan, dilanjutkan dengan pelaksanaan Black-Box Testing pada skenario operasional ekstrim.</w:t>
      </w:r>
    </w:p>
    <w:p>
      <w:pPr>
        <w:keepNext/>
        <w:spacing w:before="320" w:after="80"/>
      </w:pPr>
      <w:r>
        <w:rPr>
          <w:rFonts w:ascii="Calibri" w:hAnsi="Calibri"/>
          <w:b/>
          <w:color w:val="1E3A8A"/>
          <w:sz w:val="28"/>
        </w:rPr>
        <w:t>5. Output Akhir &amp; Deliverable Kegiatan 7</w:t>
      </w:r>
    </w:p>
    <w:p>
      <w:pPr>
        <w:spacing w:line="288" w:lineRule="auto" w:after="80"/>
        <w:jc w:val="both"/>
      </w:pPr>
      <w:r>
        <w:rPr>
          <w:rFonts w:ascii="Calibri" w:hAnsi="Calibri"/>
          <w:b/>
          <w:color w:val="10B981"/>
          <w:sz w:val="22"/>
        </w:rPr>
        <w:t xml:space="preserve">✓ </w:t>
      </w:r>
      <w:r>
        <w:rPr>
          <w:rFonts w:ascii="Calibri" w:hAnsi="Calibri"/>
          <w:color w:val="1E293B"/>
          <w:sz w:val="21"/>
        </w:rPr>
        <w:t>Arsitektur MVC Laravel 11+ Lengkap: 33 rute, 12 Eloquent Models, 7 Controllers, dan 1 Middleware RBAC.</w:t>
      </w:r>
    </w:p>
    <w:p>
      <w:pPr>
        <w:spacing w:line="288" w:lineRule="auto" w:after="80"/>
        <w:jc w:val="both"/>
      </w:pPr>
      <w:r>
        <w:rPr>
          <w:rFonts w:ascii="Calibri" w:hAnsi="Calibri"/>
          <w:b/>
          <w:color w:val="10B981"/>
          <w:sz w:val="22"/>
        </w:rPr>
        <w:t xml:space="preserve">✓ </w:t>
      </w:r>
      <w:r>
        <w:rPr>
          <w:rFonts w:ascii="Calibri" w:hAnsi="Calibri"/>
          <w:color w:val="1E293B"/>
          <w:sz w:val="21"/>
        </w:rPr>
        <w:t>Integrasi Basis Data Empiris: Terkoneksi ke db_escm_marmer dengan 40 transaksi material riil dan 35 SPK historis.</w:t>
      </w:r>
    </w:p>
    <w:p>
      <w:pPr>
        <w:spacing w:line="288" w:lineRule="auto" w:after="80"/>
        <w:jc w:val="both"/>
      </w:pPr>
      <w:r>
        <w:rPr>
          <w:rFonts w:ascii="Calibri" w:hAnsi="Calibri"/>
          <w:b/>
          <w:color w:val="10B981"/>
          <w:sz w:val="22"/>
        </w:rPr>
        <w:t xml:space="preserve">✓ </w:t>
      </w:r>
      <w:r>
        <w:rPr>
          <w:rFonts w:ascii="Calibri" w:hAnsi="Calibri"/>
          <w:color w:val="1E293B"/>
          <w:sz w:val="21"/>
        </w:rPr>
        <w:t>11 Template Antarmuka Blade: Lengkap dengan Tailwind CSS, icon dinamis Lucide, dan grafik analitik Chart.js.</w:t>
      </w:r>
    </w:p>
    <w:p>
      <w:pPr>
        <w:spacing w:line="288" w:lineRule="auto" w:after="80"/>
        <w:jc w:val="both"/>
      </w:pPr>
      <w:r>
        <w:rPr>
          <w:rFonts w:ascii="Calibri" w:hAnsi="Calibri"/>
          <w:b/>
          <w:color w:val="10B981"/>
          <w:sz w:val="22"/>
        </w:rPr>
        <w:t xml:space="preserve">✓ </w:t>
      </w:r>
      <w:r>
        <w:rPr>
          <w:rFonts w:ascii="Calibri" w:hAnsi="Calibri"/>
          <w:color w:val="1E293B"/>
          <w:sz w:val="21"/>
        </w:rPr>
        <w:t>Verifikasi Pengujian Rute 100% PASS: Seluruh 12 endpoint kunci merespons dengan HTTP Status 200 OK.</w:t>
      </w:r>
    </w:p>
    <w:sectPr w:rsidR="00FC693F" w:rsidRPr="0006063C" w:rsidSect="00034616">
      <w:headerReference w:type="default" r:id="rId9"/>
      <w:footerReference w:type="default" r:id="rId10"/>
      <w:pgSz w:w="11909" w:h="16834"/>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Rancang Bangun Sistem Informasi E-SCM Klaster IKM Marmer Tulungagung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Dokumen Output: Kegiatan 7: Pengkodean Modul Inti MVC | E-SCM Marmer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