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INSTRUCTIVO DE USO</w:t>
      </w:r>
    </w:p>
    <w:p>
      <w:pPr>
        <w:pStyle w:val="Heading1"/>
        <w:spacing w:after="600"/>
        <w:jc w:val="center"/>
      </w:pPr>
      <w:r>
        <w:t xml:space="preserve">Monitor de Fenómenos Corruptivos Legales</w:t>
      </w:r>
    </w:p>
    <w:p>
      <w:pPr>
        <w:spacing w:after="800"/>
        <w:jc w:val="center"/>
      </w:pPr>
      <w:r>
        <w:rPr>
          <w:i/>
          <w:iCs/>
        </w:rPr>
        <w:t xml:space="preserve">Basado en la Teoría del Ph.D. Vicente Humberto Monteverde</w:t>
      </w:r>
    </w:p>
    <w:p>
      <w:pPr>
        <w:pStyle w:val="Heading1"/>
        <w:spacing w:before="400" w:after="200"/>
      </w:pPr>
      <w:r>
        <w:t xml:space="preserve">1. INTRODUCCIÓN</w:t>
      </w:r>
    </w:p>
    <w:p>
      <w:pPr>
        <w:spacing w:after="300"/>
      </w:pPr>
      <w:r>
        <w:t xml:space="preserve">Este dashboard implementa la teoría de los fenómenos corruptivos del Ph.D. Vicente Humberto Monteverde, permitiendo detectar y analizar decisiones discrecionales del Estado que, siendo legales, generan transferencias regresivas de ingresos y desigualdad económica.</w:t>
      </w:r>
    </w:p>
    <w:p>
      <w:pPr>
        <w:spacing w:after="400"/>
      </w:pPr>
      <w:r>
        <w:rPr>
          <w:b/>
          <w:bCs/>
        </w:rPr>
        <w:t xml:space="preserve">Concepto clave: </w:t>
      </w:r>
      <w:r>
        <w:t xml:space="preserve">Los fenómenos corruptivos son decisiones estatales LEGALES que producen redistribuciones inequitativas de ingresos, afectando negativamente a la mayoría de la población.</w:t>
      </w:r>
    </w:p>
    <w:p>
      <w:pPr>
        <w:pStyle w:val="Heading1"/>
        <w:spacing w:before="400" w:after="200"/>
      </w:pPr>
      <w:r>
        <w:t xml:space="preserve">2. REQUISITOS PREVIOS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Python 3.8 o superior instalado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Streamlit instalado: pip install streamlit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Pandas y Plotly instalados: pip install pandas plotly openpyxl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Script de generación de reportes diarios ejecutado</w:t>
      </w:r>
    </w:p>
    <w:p>
      <w:pPr>
        <w:pStyle w:val="Heading1"/>
        <w:spacing w:before="400" w:after="200"/>
      </w:pPr>
      <w:r>
        <w:t xml:space="preserve">3. ESTRUCTURA DE ARCHIVOS</w:t>
      </w:r>
    </w:p>
    <w:p>
      <w:pPr>
        <w:spacing w:after="200"/>
      </w:pPr>
      <w:r>
        <w:t xml:space="preserve">Su proyecto debe tener la siguiente estructura:</w:t>
      </w:r>
    </w:p>
    <w:p>
      <w:pPr>
        <w:spacing w:after="50"/>
      </w:pPr>
      <w:r>
        <w:t xml:space="preserve">proyecto/</w:t>
      </w:r>
    </w:p>
    <w:p>
      <w:pPr>
        <w:spacing w:after="50"/>
      </w:pPr>
      <w:r>
        <w:t xml:space="preserve">│</w:t>
      </w:r>
    </w:p>
    <w:p>
      <w:pPr>
        <w:spacing w:after="50"/>
      </w:pPr>
      <w:r>
        <w:t xml:space="preserve">├── dashboard.py              (Dashboard principal)</w:t>
      </w:r>
    </w:p>
    <w:p>
      <w:pPr>
        <w:spacing w:after="50"/>
      </w:pPr>
      <w:r>
        <w:t xml:space="preserve">├── articulo_monteverde_español.docx  (Artículo académico)</w:t>
      </w:r>
    </w:p>
    <w:p>
      <w:pPr>
        <w:spacing w:after="50"/>
      </w:pPr>
      <w:r>
        <w:t xml:space="preserve">└── data/                     (Carpeta de reportes)</w:t>
      </w:r>
    </w:p>
    <w:p>
      <w:pPr>
        <w:spacing w:after="50"/>
      </w:pPr>
      <w:r>
        <w:t xml:space="preserve">    ├── reporte_fenomenos_20260130.xlsx</w:t>
      </w:r>
    </w:p>
    <w:p>
      <w:pPr>
        <w:spacing w:after="50"/>
      </w:pPr>
      <w:r>
        <w:t xml:space="preserve">    ├── reporte_fenomenos_20260131.xlsx</w:t>
      </w:r>
    </w:p>
    <w:p>
      <w:pPr>
        <w:spacing w:after="400"/>
      </w:pPr>
      <w:r>
        <w:t xml:space="preserve">    └── ...</w:t>
      </w:r>
    </w:p>
    <w:p>
      <w:pPr>
        <w:pStyle w:val="Heading1"/>
        <w:spacing w:before="400" w:after="200"/>
      </w:pPr>
      <w:r>
        <w:t xml:space="preserve">4. CÓMO EJECUTAR EL DASHBOARD</w:t>
      </w:r>
    </w:p>
    <w:p>
      <w:pPr>
        <w:pStyle w:val="Heading2"/>
        <w:spacing w:after="100"/>
      </w:pPr>
      <w:r>
        <w:t xml:space="preserve">Paso 1: Abrir terminal o línea de comandos</w:t>
      </w:r>
    </w:p>
    <w:p>
      <w:pPr>
        <w:spacing w:after="200"/>
      </w:pPr>
      <w:r>
        <w:t xml:space="preserve">Navegue hasta el directorio donde está el archivo dashboard.py</w:t>
      </w:r>
    </w:p>
    <w:p>
      <w:pPr>
        <w:pStyle w:val="Heading2"/>
        <w:spacing w:after="100"/>
      </w:pPr>
      <w:r>
        <w:t xml:space="preserve">Paso 2: Ejecutar el comando</w:t>
      </w:r>
    </w:p>
    <w:p>
      <w:pPr>
        <w:spacing w:after="200"/>
      </w:pPr>
      <w:r>
        <w:t xml:space="preserve">streamlit run dashboard.py</w:t>
      </w:r>
    </w:p>
    <w:p>
      <w:pPr>
        <w:pStyle w:val="Heading2"/>
        <w:spacing w:after="100"/>
      </w:pPr>
      <w:r>
        <w:t xml:space="preserve">Paso 3: Acceder al dashboard</w:t>
      </w:r>
    </w:p>
    <w:p>
      <w:pPr>
        <w:spacing w:after="400"/>
      </w:pPr>
      <w:r>
        <w:t xml:space="preserve">El sistema abrirá automáticamente su navegador en: http://localhost:8501</w:t>
      </w:r>
    </w:p>
    <w:p>
      <w:pPr>
        <w:pStyle w:val="Heading1"/>
        <w:spacing w:before="400" w:after="200"/>
      </w:pPr>
      <w:r>
        <w:t xml:space="preserve">5. COMPONENTES DEL DASHBOARD</w:t>
      </w:r>
    </w:p>
    <w:p>
      <w:pPr>
        <w:pStyle w:val="Heading2"/>
        <w:spacing w:after="100"/>
      </w:pPr>
      <w:r>
        <w:t xml:space="preserve">5.1 Panel Principal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Normas Analizadas: Total de normas procesadas en el reporte seleccionado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Fenómenos Detectados: Cantidad de casos que cumplen con la teoría de Monteverde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Riesgo Máximo: Intensidad más alta detectada (escala 0-10)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Fecha del Reporte: Día del análisis</w:t>
      </w:r>
    </w:p>
    <w:p>
      <w:pPr>
        <w:pStyle w:val="Heading2"/>
        <w:spacing w:after="100"/>
      </w:pPr>
      <w:r>
        <w:t xml:space="preserve">5.2 Gráficos de Análisis 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Intensidad por Escenario Teórico: Gráfico de barras mostrando la intensidad de cada fenómeno detectado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Sectores de Transferencia Regresiva: Gráfico circular mostrando la distribución del impacto económico</w:t>
      </w:r>
    </w:p>
    <w:p>
      <w:pPr>
        <w:pStyle w:val="Heading2"/>
        <w:spacing w:after="100"/>
      </w:pPr>
      <w:r>
        <w:t xml:space="preserve">5.3 Análisis Avanzados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Análisis de Acumulación Temporal: Frecuencia e intensidad promedio por escenario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Matriz de Riesgo: Cruce entre intensidad y dirección de transferencia económica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Concentración de Riesgo: Métricas por nivel (Alto, Medio, Bajo)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Índice de Concentración Corruptiva (ICC): Curva de Pareto identificando concentración de fenómenos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Recomendaciones: Áreas prioritarias según la teoría de Monteverde</w:t>
      </w:r>
    </w:p>
    <w:p>
      <w:pPr>
        <w:pStyle w:val="Heading1"/>
        <w:spacing w:before="400" w:after="200"/>
      </w:pPr>
      <w:r>
        <w:t xml:space="preserve">6. LOS 7 ESCENARIOS CORRUPTIVOS ANALIZADOS</w:t>
      </w:r>
    </w:p>
    <w:p>
      <w:pPr>
        <w:spacing w:after="200"/>
      </w:pPr>
      <w:r>
        <w:t xml:space="preserve">El sistema detecta automáticamente estos 7 escenarios definidos por Monteverde:</w:t>
      </w:r>
    </w:p>
    <w:p>
      <w:pPr>
        <w:spacing w:after="150"/>
      </w:pPr>
      <w:r>
        <w:rPr>
          <w:b/>
          <w:bCs/>
        </w:rPr>
        <w:t xml:space="preserve">1. Privatizaciones Subvaluadas: </w:t>
      </w:r>
      <w:r>
        <w:t xml:space="preserve">Transferencia de patrimonio estatal a privados por debajo del valor real</w:t>
      </w:r>
    </w:p>
    <w:p>
      <w:pPr>
        <w:spacing w:after="150"/>
      </w:pPr>
      <w:r>
        <w:rPr>
          <w:b/>
          <w:bCs/>
        </w:rPr>
        <w:t xml:space="preserve">2. Contratos Públicos: </w:t>
      </w:r>
      <w:r>
        <w:t xml:space="preserve">Continuidad de obras ineficientes o con sobreprecios</w:t>
      </w:r>
    </w:p>
    <w:p>
      <w:pPr>
        <w:spacing w:after="150"/>
      </w:pPr>
      <w:r>
        <w:rPr>
          <w:b/>
          <w:bCs/>
        </w:rPr>
        <w:t xml:space="preserve">3. Tarifas y Devaluación: </w:t>
      </w:r>
      <w:r>
        <w:t xml:space="preserve">Compensaciones discrecionales a concesionarias</w:t>
      </w:r>
    </w:p>
    <w:p>
      <w:pPr>
        <w:spacing w:after="150"/>
      </w:pPr>
      <w:r>
        <w:rPr>
          <w:b/>
          <w:bCs/>
        </w:rPr>
        <w:t xml:space="preserve">4. Servicios Públicos: </w:t>
      </w:r>
      <w:r>
        <w:t xml:space="preserve">Ajustes tarifarios sin considerar el ingreso salarial</w:t>
      </w:r>
    </w:p>
    <w:p>
      <w:pPr>
        <w:spacing w:after="150"/>
      </w:pPr>
      <w:r>
        <w:rPr>
          <w:b/>
          <w:bCs/>
        </w:rPr>
        <w:t xml:space="preserve">5. Salud y Educación: </w:t>
      </w:r>
      <w:r>
        <w:t xml:space="preserve">Aumentos autorizados en servicios básicos privados</w:t>
      </w:r>
    </w:p>
    <w:p>
      <w:pPr>
        <w:spacing w:after="150"/>
      </w:pPr>
      <w:r>
        <w:rPr>
          <w:b/>
          <w:bCs/>
        </w:rPr>
        <w:t xml:space="preserve">6. Cálculo Previsional: </w:t>
      </w:r>
      <w:r>
        <w:t xml:space="preserve">Transferencia de ingresos de jubilados hacia el Estado (Peso máximo: 10.0)</w:t>
      </w:r>
    </w:p>
    <w:p>
      <w:pPr>
        <w:spacing w:after="400"/>
      </w:pPr>
      <w:r>
        <w:rPr>
          <w:b/>
          <w:bCs/>
        </w:rPr>
        <w:t xml:space="preserve">7. Traslación Impositiva: </w:t>
      </w:r>
      <w:r>
        <w:t xml:space="preserve">Transferencia de impuestos empresariales a los consumidores</w:t>
      </w:r>
    </w:p>
    <w:p>
      <w:pPr>
        <w:pStyle w:val="Heading1"/>
        <w:spacing w:before="400" w:after="200"/>
      </w:pPr>
      <w:r>
        <w:t xml:space="preserve">7. CÓMO INTERPRETAR LOS RESULTADOS</w:t>
      </w:r>
    </w:p>
    <w:p>
      <w:pPr>
        <w:pStyle w:val="Heading2"/>
        <w:spacing w:after="100"/>
      </w:pPr>
      <w:r>
        <w:t xml:space="preserve">Niveles de Riesgo Teórico</w:t>
      </w:r>
    </w:p>
    <w:p>
      <w:pPr>
        <w:spacing w:after="100"/>
      </w:pPr>
      <w:r>
        <w:rPr>
          <w:b/>
          <w:bCs/>
          <w:color w:val="EF553B"/>
        </w:rPr>
        <w:t xml:space="preserve">• ALTO (Rojo): </w:t>
      </w:r>
      <w:r>
        <w:t xml:space="preserve">Índice 8.0-10.0 - Fenómeno de máxima intensidad con impacto significativo</w:t>
      </w:r>
    </w:p>
    <w:p>
      <w:pPr>
        <w:spacing w:after="100"/>
      </w:pPr>
      <w:r>
        <w:rPr>
          <w:b/>
          <w:bCs/>
          <w:color w:val="FECB52"/>
        </w:rPr>
        <w:t xml:space="preserve">• MEDIO (Naranja): </w:t>
      </w:r>
      <w:r>
        <w:t xml:space="preserve">Índice 5.0-7.9 - Fenómeno de intensidad moderada</w:t>
      </w:r>
    </w:p>
    <w:p>
      <w:pPr>
        <w:spacing w:after="300"/>
      </w:pPr>
      <w:r>
        <w:rPr>
          <w:b/>
          <w:bCs/>
          <w:color w:val="636EFA"/>
        </w:rPr>
        <w:t xml:space="preserve">• BAJO (Azul): </w:t>
      </w:r>
      <w:r>
        <w:t xml:space="preserve">Índice 0-4.9 - Fenómeno de baja intensidad</w:t>
      </w:r>
    </w:p>
    <w:p>
      <w:pPr>
        <w:pStyle w:val="Heading2"/>
        <w:spacing w:after="100"/>
      </w:pPr>
      <w:r>
        <w:t xml:space="preserve">Direcciones de Transferencia</w:t>
      </w:r>
    </w:p>
    <w:p>
      <w:pPr>
        <w:spacing w:after="100"/>
      </w:pPr>
      <w:r>
        <w:rPr>
          <w:b/>
          <w:bCs/>
        </w:rPr>
        <w:t xml:space="preserve">• Estado → Empresas: </w:t>
      </w:r>
      <w:r>
        <w:t xml:space="preserve">Recursos públicos transferidos al sector privado</w:t>
      </w:r>
    </w:p>
    <w:p>
      <w:pPr>
        <w:spacing w:after="400"/>
      </w:pPr>
      <w:r>
        <w:rPr>
          <w:b/>
          <w:bCs/>
        </w:rPr>
        <w:t xml:space="preserve">• Contribuyentes → Estado: </w:t>
      </w:r>
      <w:r>
        <w:t xml:space="preserve">Carga fiscal transferida desde empresas hacia ciudadanos</w:t>
      </w:r>
    </w:p>
    <w:p>
      <w:pPr>
        <w:pStyle w:val="Heading1"/>
        <w:spacing w:before="400" w:after="200"/>
      </w:pPr>
      <w:r>
        <w:t xml:space="preserve">8. RECURSOS ADICIONALES</w:t>
      </w:r>
    </w:p>
    <w:p>
      <w:pPr>
        <w:spacing w:after="150"/>
      </w:pPr>
      <w:r>
        <w:rPr>
          <w:b/>
          <w:bCs/>
        </w:rPr>
        <w:t xml:space="preserve">Artículo Original: </w:t>
      </w:r>
      <w:r>
        <w:t xml:space="preserve">Disponible para descarga desde el dashboard</w:t>
      </w:r>
    </w:p>
    <w:p>
      <w:pPr>
        <w:spacing w:after="400"/>
      </w:pPr>
      <w:r>
        <w:rPr>
          <w:b/>
          <w:bCs/>
        </w:rPr>
        <w:t xml:space="preserve">Referencia: </w:t>
      </w:r>
      <w:r>
        <w:rPr>
          <w:i/>
          <w:iCs/>
        </w:rPr>
        <w:t xml:space="preserve">Monteverde, V. H. (2020). Great corruption – theory of corrupt phenomena. Journal of Financial Crime.</w:t>
      </w:r>
    </w:p>
    <w:p>
      <w:pPr>
        <w:spacing w:before="800"/>
      </w:pPr>
    </w:p>
    <w:p>
      <w:pPr>
        <w:spacing w:after="200"/>
        <w:jc w:val="center"/>
      </w:pPr>
      <w:r>
        <w:t xml:space="preserve">_______________________________________________</w:t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Sistema validado por Ph.D. Vicente Humberto Monteverde</w:t>
      </w:r>
    </w:p>
    <w:p>
      <w:pPr>
        <w:jc w:val="center"/>
      </w:pPr>
      <w:r>
        <w:rPr>
          <w:sz w:val="18"/>
          <w:szCs w:val="18"/>
        </w:rPr>
        <w:t xml:space="preserve">Documento generado automáticamente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2026-01-30T21:38:36.265Z</dcterms:created>
  <dcterms:modified xsi:type="dcterms:W3CDTF">2026-01-30T21:38:36.266Z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