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Segoe UI Emoji" w:cs="Segoe UI Emoji" w:eastAsia="Segoe UI Emoji" w:hAnsi="Segoe UI Emoji"/>
          <w:sz w:val="80"/>
          <w:szCs w:val="80"/>
        </w:rPr>
        <w:t xml:space="preserve">⚖</w:t>
      </w:r>
    </w:p>
    <w:p>
      <w:pPr>
        <w:spacing w:after="80" w:before="240"/>
        <w:jc w:val="center"/>
      </w:pPr>
      <w:r>
        <w:rPr>
          <w:rFonts w:ascii="Arial" w:cs="Arial" w:eastAsia="Arial" w:hAnsi="Arial"/>
          <w:b/>
          <w:bCs/>
          <w:color w:val="00A896"/>
          <w:sz w:val="56"/>
          <w:szCs w:val="56"/>
        </w:rPr>
        <w:t xml:space="preserve">Monitor XAI</w:t>
      </w:r>
    </w:p>
    <w:p>
      <w:pPr>
        <w:spacing w:after="60" w:before="0"/>
        <w:jc w:val="center"/>
      </w:pPr>
      <w:r>
        <w:rPr>
          <w:rFonts w:ascii="Arial" w:cs="Arial" w:eastAsia="Arial" w:hAnsi="Arial"/>
          <w:color w:val="1A2332"/>
          <w:sz w:val="36"/>
          <w:szCs w:val="36"/>
        </w:rPr>
        <w:t xml:space="preserve">Manual de Usuario</w:t>
      </w:r>
    </w:p>
    <w:p>
      <w:pPr>
        <w:spacing w:after="400" w:before="60"/>
        <w:jc w:val="center"/>
      </w:pPr>
      <w:r>
        <w:rPr>
          <w:rFonts w:ascii="Arial" w:cs="Arial" w:eastAsia="Arial" w:hAnsi="Arial"/>
          <w:color w:val="57606A"/>
          <w:sz w:val="22"/>
          <w:szCs w:val="22"/>
        </w:rPr>
        <w:t xml:space="preserve">Portal Anticorrupción · Poder Ejecutivo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8"/>
              <w:bottom w:val="single" w:color="F0C040" w:sz="1"/>
              <w:right w:val="single" w:color="F0C040" w:sz="1"/>
            </w:tcBorders>
            <w:shd w:fill="FEF3CD" w:val="clear"/>
            <w:tcMar>
              <w:top w:type="dxa" w:w="100"/>
              <w:left w:type="dxa" w:w="200"/>
              <w:bottom w:type="dxa" w:w="100"/>
              <w:right w:type="dxa" w:w="160"/>
            </w:tcMar>
          </w:tcPr>
          <w:p>
            <w:r>
              <w:rPr>
                <w:rFonts w:ascii="Arial" w:cs="Arial" w:eastAsia="Arial" w:hAnsi="Arial"/>
                <w:color w:val="1A2332"/>
                <w:sz w:val="19"/>
                <w:szCs w:val="19"/>
              </w:rPr>
              <w:t xml:space="preserve">⚠️  HERRAMIENTA EXPERIMENTAL Y ACADÉMICA. Los datos provienen de fuentes públicas oficiales del Estado argentino. Los resultados son indicadores algorítmicos de riesgo — no implican juicio de valor, acusación ni determinación de responsabilidad sobre ninguna empresa, organismo o persona. El objetivo es promover la transparencia y el debate informado sobre el gasto público.</w:t>
            </w:r>
          </w:p>
        </w:tc>
      </w:tr>
    </w:tbl>
    <w:p>
      <w:pPr>
        <w:spacing w:after="100" w:before="400"/>
        <w:jc w:val="center"/>
      </w:pPr>
      <w:r>
        <w:rPr>
          <w:rFonts w:ascii="Arial" w:cs="Arial" w:eastAsia="Arial" w:hAnsi="Arial"/>
          <w:b/>
          <w:bCs/>
          <w:color w:val="1A2332"/>
          <w:sz w:val="20"/>
          <w:szCs w:val="20"/>
        </w:rPr>
        <w:t xml:space="preserve">Ph.D. Vicente Humberto Monteverde</w:t>
      </w:r>
    </w:p>
    <w:p>
      <w:pPr>
        <w:spacing w:after="800" w:before="0"/>
        <w:jc w:val="center"/>
      </w:pPr>
      <w:r>
        <w:rPr>
          <w:rFonts w:ascii="Arial" w:cs="Arial" w:eastAsia="Arial" w:hAnsi="Arial"/>
          <w:color w:val="57606A"/>
          <w:sz w:val="18"/>
          <w:szCs w:val="18"/>
        </w:rPr>
        <w:t xml:space="preserve">vhmonte@retina.ar  ·  github.com/Viny2030</w:t>
      </w:r>
    </w:p>
    <w:p>
      <w:r>
        <w:br w:type="page"/>
      </w:r>
    </w:p>
    <w:p>
      <w:pPr>
        <w:pBdr>
          <w:bottom w:val="single" w:color="00A896" w:sz="4" w:space="4"/>
        </w:pBdr>
        <w:spacing w:after="120" w:before="400"/>
      </w:pPr>
      <w:r>
        <w:rPr>
          <w:rFonts w:ascii="Arial" w:cs="Arial" w:eastAsia="Arial" w:hAnsi="Arial"/>
          <w:b/>
          <w:bCs/>
          <w:color w:val="00A896"/>
          <w:sz w:val="28"/>
          <w:szCs w:val="28"/>
        </w:rPr>
        <w:t xml:space="preserve">01  </w:t>
      </w:r>
      <w:r>
        <w:rPr>
          <w:rFonts w:ascii="Arial" w:cs="Arial" w:eastAsia="Arial" w:hAnsi="Arial"/>
          <w:b/>
          <w:bCs/>
          <w:color w:val="1A2332"/>
          <w:sz w:val="28"/>
          <w:szCs w:val="28"/>
        </w:rPr>
        <w:t xml:space="preserve">Introducción al Sistema</w:t>
      </w:r>
    </w:p>
    <w:p>
      <w:pPr>
        <w:spacing w:after="0" w:before="120"/>
      </w:pPr>
      <w:r>
        <w:t xml:space="preserve"/>
      </w:r>
    </w:p>
    <w:p>
      <w:pPr>
        <w:spacing w:after="80" w:before="60"/>
      </w:pPr>
      <w:r>
        <w:rPr>
          <w:rFonts w:ascii="Arial" w:cs="Arial" w:eastAsia="Arial" w:hAnsi="Arial"/>
          <w:color w:val="1A2332"/>
          <w:sz w:val="20"/>
          <w:szCs w:val="20"/>
        </w:rPr>
        <w:t xml:space="preserve">El Monitor XAI es una herramienta de transparencia y auditoría algorítmica del gasto público argentino. Monitorea en tiempo real los contratos, nómina y alertas de conflicto de interés en organismos del Poder Ejecutivo Nacional, usando datos exclusivamente de fuentes públicas oficiales.</w:t>
      </w:r>
    </w:p>
    <w:p>
      <w:pPr>
        <w:spacing w:after="0" w:before="80"/>
      </w:pPr>
      <w:r>
        <w:t xml:space="preserve"/>
      </w:r>
    </w:p>
    <w:p>
      <w:pPr>
        <w:spacing w:after="80" w:before="280"/>
      </w:pPr>
      <w:r>
        <w:rPr>
          <w:rFonts w:ascii="Arial" w:cs="Arial" w:eastAsia="Arial" w:hAnsi="Arial"/>
          <w:b/>
          <w:bCs/>
          <w:color w:val="00A896"/>
          <w:sz w:val="22"/>
          <w:szCs w:val="22"/>
        </w:rPr>
        <w:t xml:space="preserve">Organismos monitoreados</w:t>
      </w:r>
    </w:p>
    <w:p>
      <w:pPr>
        <w:pStyle w:val="ListParagraph"/>
        <w:numPr>
          <w:ilvl w:val="0"/>
          <w:numId w:val="2"/>
        </w:numPr>
        <w:spacing w:after="40" w:before="40"/>
      </w:pPr>
      <w:r>
        <w:rPr>
          <w:rFonts w:ascii="Arial" w:cs="Arial" w:eastAsia="Arial" w:hAnsi="Arial"/>
          <w:color w:val="1A2332"/>
          <w:sz w:val="20"/>
          <w:szCs w:val="20"/>
        </w:rPr>
        <w:t xml:space="preserve">Jefatura de Gabinete de Ministros (JGM)</w:t>
      </w:r>
    </w:p>
    <w:p>
      <w:pPr>
        <w:pStyle w:val="ListParagraph"/>
        <w:numPr>
          <w:ilvl w:val="0"/>
          <w:numId w:val="2"/>
        </w:numPr>
        <w:spacing w:after="40" w:before="40"/>
      </w:pPr>
      <w:r>
        <w:rPr>
          <w:rFonts w:ascii="Arial" w:cs="Arial" w:eastAsia="Arial" w:hAnsi="Arial"/>
          <w:color w:val="1A2332"/>
          <w:sz w:val="20"/>
          <w:szCs w:val="20"/>
        </w:rPr>
        <w:t xml:space="preserve">Secretaría General de la Presidencia (SGP)</w:t>
      </w:r>
    </w:p>
    <w:p>
      <w:pPr>
        <w:pStyle w:val="ListParagraph"/>
        <w:numPr>
          <w:ilvl w:val="0"/>
          <w:numId w:val="2"/>
        </w:numPr>
        <w:spacing w:after="40" w:before="40"/>
      </w:pPr>
      <w:r>
        <w:rPr>
          <w:rFonts w:ascii="Arial" w:cs="Arial" w:eastAsia="Arial" w:hAnsi="Arial"/>
          <w:color w:val="1A2332"/>
          <w:sz w:val="20"/>
          <w:szCs w:val="20"/>
        </w:rPr>
        <w:t xml:space="preserve">Presidencia de la Nación (PNA)</w:t>
      </w:r>
    </w:p>
    <w:p>
      <w:pPr>
        <w:spacing w:after="0" w:before="80"/>
      </w:pPr>
      <w:r>
        <w:t xml:space="preserve"/>
      </w:r>
    </w:p>
    <w:p>
      <w:pPr>
        <w:spacing w:after="80" w:before="280"/>
      </w:pPr>
      <w:r>
        <w:rPr>
          <w:rFonts w:ascii="Arial" w:cs="Arial" w:eastAsia="Arial" w:hAnsi="Arial"/>
          <w:b/>
          <w:bCs/>
          <w:color w:val="00A896"/>
          <w:sz w:val="22"/>
          <w:szCs w:val="22"/>
        </w:rPr>
        <w:t xml:space="preserve">Fuentes de datos</w:t>
      </w:r>
    </w:p>
    <w:p>
      <w:pPr>
        <w:pStyle w:val="ListParagraph"/>
        <w:numPr>
          <w:ilvl w:val="0"/>
          <w:numId w:val="2"/>
        </w:numPr>
        <w:spacing w:after="40" w:before="40"/>
      </w:pPr>
      <w:r>
        <w:rPr>
          <w:rFonts w:ascii="Arial" w:cs="Arial" w:eastAsia="Arial" w:hAnsi="Arial"/>
          <w:color w:val="1A2332"/>
          <w:sz w:val="20"/>
          <w:szCs w:val="20"/>
        </w:rPr>
        <w:t xml:space="preserve">comprar.gob.ar / datos.gob.ar — contratos y adjudicaciones</w:t>
      </w:r>
    </w:p>
    <w:p>
      <w:pPr>
        <w:pStyle w:val="ListParagraph"/>
        <w:numPr>
          <w:ilvl w:val="0"/>
          <w:numId w:val="2"/>
        </w:numPr>
        <w:spacing w:after="40" w:before="40"/>
      </w:pPr>
      <w:r>
        <w:rPr>
          <w:rFonts w:ascii="Arial" w:cs="Arial" w:eastAsia="Arial" w:hAnsi="Arial"/>
          <w:color w:val="1A2332"/>
          <w:sz w:val="20"/>
          <w:szCs w:val="20"/>
        </w:rPr>
        <w:t xml:space="preserve">Boletín Oficial (BORA) — resoluciones y designaciones</w:t>
      </w:r>
    </w:p>
    <w:p>
      <w:pPr>
        <w:pStyle w:val="ListParagraph"/>
        <w:numPr>
          <w:ilvl w:val="0"/>
          <w:numId w:val="2"/>
        </w:numPr>
        <w:spacing w:after="40" w:before="40"/>
      </w:pPr>
      <w:r>
        <w:rPr>
          <w:rFonts w:ascii="Arial" w:cs="Arial" w:eastAsia="Arial" w:hAnsi="Arial"/>
          <w:color w:val="1A2332"/>
          <w:sz w:val="20"/>
          <w:szCs w:val="20"/>
        </w:rPr>
        <w:t xml:space="preserve">MapaDelEstado — nómina de autoridades</w:t>
      </w:r>
    </w:p>
    <w:p>
      <w:pPr>
        <w:pStyle w:val="ListParagraph"/>
        <w:numPr>
          <w:ilvl w:val="0"/>
          <w:numId w:val="2"/>
        </w:numPr>
        <w:spacing w:after="40" w:before="40"/>
      </w:pPr>
      <w:r>
        <w:rPr>
          <w:rFonts w:ascii="Arial" w:cs="Arial" w:eastAsia="Arial" w:hAnsi="Arial"/>
          <w:color w:val="1A2332"/>
          <w:sz w:val="20"/>
          <w:szCs w:val="20"/>
        </w:rPr>
        <w:t xml:space="preserve">SIPRO — proveedores del Estado</w:t>
      </w:r>
    </w:p>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02  </w:t>
      </w:r>
      <w:r>
        <w:rPr>
          <w:rFonts w:ascii="Arial" w:cs="Arial" w:eastAsia="Arial" w:hAnsi="Arial"/>
          <w:b/>
          <w:bCs/>
          <w:color w:val="1A2332"/>
          <w:sz w:val="28"/>
          <w:szCs w:val="28"/>
        </w:rPr>
        <w:t xml:space="preserve">Secciones del Portal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tblHeader/>
        </w:trPr>
        <w:tc>
          <w:tcPr>
            <w:tcW w:type="dxa" w:w="12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Ícono</w:t>
            </w:r>
          </w:p>
        </w:tc>
        <w:tc>
          <w:tcPr>
            <w:tcW w:type="dxa" w:w="25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Sección</w:t>
            </w:r>
          </w:p>
        </w:tc>
        <w:tc>
          <w:tcPr>
            <w:tcW w:type="dxa" w:w="5326"/>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Dashboard</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KPIs globales: contratos, montos, alertas activas y proveedores únicos.</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Análisis en Vivo</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Procesamiento en tiempo real de nuevas adjudicaciones de comprar.gob.ar.</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Alertas</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Panel de alertas clasificadas por nivel: Alta, Media y Baja.</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JGM / SGP / PNA</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Fichas por organismo: contratos, nómina, cruces y estadísticas de gasto.</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Grafo de Relaciones</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Visualización interactiva de vínculos entre funcionarios y proveedores.</w:t>
            </w:r>
          </w:p>
        </w:tc>
      </w:tr>
      <w:tr>
        <w:tc>
          <w:tcPr>
            <w:tcW w:type="dxa" w:w="12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pPr>
              <w:jc w:val="center"/>
            </w:pPr>
            <w:r>
              <w:rPr>
                <w:rFonts w:ascii="Segoe UI Emoji" w:cs="Segoe UI Emoji" w:eastAsia="Segoe UI Emoji" w:hAnsi="Segoe UI Emoji"/>
                <w:sz w:val="20"/>
                <w:szCs w:val="20"/>
              </w:rPr>
              <w:t xml:space="preserve">⚡</w:t>
            </w:r>
          </w:p>
        </w:tc>
        <w:tc>
          <w:tcPr>
            <w:tcW w:type="dxa" w:w="25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9"/>
                <w:szCs w:val="19"/>
              </w:rPr>
              <w:t xml:space="preserve">API REST</w:t>
            </w:r>
          </w:p>
        </w:tc>
        <w:tc>
          <w:tcPr>
            <w:tcW w:type="dxa" w:w="53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Acceso programático a todos los datos vía endpoints documentados.</w:t>
            </w:r>
          </w:p>
        </w:tc>
      </w:tr>
    </w:tbl>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03  </w:t>
      </w:r>
      <w:r>
        <w:rPr>
          <w:rFonts w:ascii="Arial" w:cs="Arial" w:eastAsia="Arial" w:hAnsi="Arial"/>
          <w:b/>
          <w:bCs/>
          <w:color w:val="1A2332"/>
          <w:sz w:val="28"/>
          <w:szCs w:val="28"/>
        </w:rPr>
        <w:t xml:space="preserve">Cómo Usar el Sistema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A89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single" w:color="00A896" w:sz="3"/>
              <w:bottom w:val="none" w:color="FFFFFF" w:sz="0"/>
              <w:right w:val="none" w:color="FFFFFF" w:sz="0"/>
            </w:tcBorders>
            <w:tcMar>
              <w:top w:type="dxa" w:w="80"/>
              <w:left w:type="dxa" w:w="160"/>
              <w:bottom w:type="dxa" w:w="80"/>
              <w:right w:type="dxa" w:w="100"/>
            </w:tcMar>
          </w:tcPr>
          <w:p>
            <w:pPr>
              <w:spacing w:after="30" w:before="0"/>
            </w:pPr>
            <w:r>
              <w:rPr>
                <w:rFonts w:ascii="Arial" w:cs="Arial" w:eastAsia="Arial" w:hAnsi="Arial"/>
                <w:b/>
                <w:bCs/>
                <w:color w:val="1A2332"/>
                <w:sz w:val="20"/>
                <w:szCs w:val="20"/>
              </w:rPr>
              <w:t xml:space="preserve">Seleccionar un organismo</w:t>
            </w:r>
          </w:p>
          <w:p>
            <w:pPr>
              <w:spacing w:after="0" w:before="0"/>
            </w:pPr>
            <w:r>
              <w:rPr>
                <w:rFonts w:ascii="Arial" w:cs="Arial" w:eastAsia="Arial" w:hAnsi="Arial"/>
                <w:color w:val="57606A"/>
                <w:sz w:val="19"/>
                <w:szCs w:val="19"/>
              </w:rPr>
              <w:t xml:space="preserve">En el Dashboard hacé clic en la card del organismo que querés analizar: JGM, SGP o Presidencia. Cada uno tiene datos independientes.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A89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single" w:color="00A896" w:sz="3"/>
              <w:bottom w:val="none" w:color="FFFFFF" w:sz="0"/>
              <w:right w:val="none" w:color="FFFFFF" w:sz="0"/>
            </w:tcBorders>
            <w:tcMar>
              <w:top w:type="dxa" w:w="80"/>
              <w:left w:type="dxa" w:w="160"/>
              <w:bottom w:type="dxa" w:w="80"/>
              <w:right w:type="dxa" w:w="100"/>
            </w:tcMar>
          </w:tcPr>
          <w:p>
            <w:pPr>
              <w:spacing w:after="30" w:before="0"/>
            </w:pPr>
            <w:r>
              <w:rPr>
                <w:rFonts w:ascii="Arial" w:cs="Arial" w:eastAsia="Arial" w:hAnsi="Arial"/>
                <w:b/>
                <w:bCs/>
                <w:color w:val="1A2332"/>
                <w:sz w:val="20"/>
                <w:szCs w:val="20"/>
              </w:rPr>
              <w:t xml:space="preserve">Explorar contratos</w:t>
            </w:r>
          </w:p>
          <w:p>
            <w:pPr>
              <w:spacing w:after="0" w:before="0"/>
            </w:pPr>
            <w:r>
              <w:rPr>
                <w:rFonts w:ascii="Arial" w:cs="Arial" w:eastAsia="Arial" w:hAnsi="Arial"/>
                <w:color w:val="57606A"/>
                <w:sz w:val="19"/>
                <w:szCs w:val="19"/>
              </w:rPr>
              <w:t xml:space="preserve">Dentro de la ficha encontrarás la tabla de contratos con filtros por tipo, estado, proveedor y rango de monto. Podés exportar a CSV con un clic.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A89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single" w:color="00A896" w:sz="3"/>
              <w:bottom w:val="none" w:color="FFFFFF" w:sz="0"/>
              <w:right w:val="none" w:color="FFFFFF" w:sz="0"/>
            </w:tcBorders>
            <w:tcMar>
              <w:top w:type="dxa" w:w="80"/>
              <w:left w:type="dxa" w:w="160"/>
              <w:bottom w:type="dxa" w:w="80"/>
              <w:right w:type="dxa" w:w="100"/>
            </w:tcMar>
          </w:tcPr>
          <w:p>
            <w:pPr>
              <w:spacing w:after="30" w:before="0"/>
            </w:pPr>
            <w:r>
              <w:rPr>
                <w:rFonts w:ascii="Arial" w:cs="Arial" w:eastAsia="Arial" w:hAnsi="Arial"/>
                <w:b/>
                <w:bCs/>
                <w:color w:val="1A2332"/>
                <w:sz w:val="20"/>
                <w:szCs w:val="20"/>
              </w:rPr>
              <w:t xml:space="preserve">Revisar alertas generadas</w:t>
            </w:r>
          </w:p>
          <w:p>
            <w:pPr>
              <w:spacing w:after="0" w:before="0"/>
            </w:pPr>
            <w:r>
              <w:rPr>
                <w:rFonts w:ascii="Arial" w:cs="Arial" w:eastAsia="Arial" w:hAnsi="Arial"/>
                <w:color w:val="57606A"/>
                <w:sz w:val="19"/>
                <w:szCs w:val="19"/>
              </w:rPr>
              <w:t xml:space="preserve">El algoritmo XAI genera alertas automáticas. Una alerta ALTA indica sobreprecio &gt;80% sobre la mediana del rubro, o funcionario con CUIL idéntico a CUIT de proveedor adjudicado.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A89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single" w:color="00A896" w:sz="3"/>
              <w:bottom w:val="none" w:color="FFFFFF" w:sz="0"/>
              <w:right w:val="none" w:color="FFFFFF" w:sz="0"/>
            </w:tcBorders>
            <w:tcMar>
              <w:top w:type="dxa" w:w="80"/>
              <w:left w:type="dxa" w:w="160"/>
              <w:bottom w:type="dxa" w:w="80"/>
              <w:right w:type="dxa" w:w="100"/>
            </w:tcMar>
          </w:tcPr>
          <w:p>
            <w:pPr>
              <w:spacing w:after="30" w:before="0"/>
            </w:pPr>
            <w:r>
              <w:rPr>
                <w:rFonts w:ascii="Arial" w:cs="Arial" w:eastAsia="Arial" w:hAnsi="Arial"/>
                <w:b/>
                <w:bCs/>
                <w:color w:val="1A2332"/>
                <w:sz w:val="20"/>
                <w:szCs w:val="20"/>
              </w:rPr>
              <w:t xml:space="preserve">Usar el Grafo de Relaciones</w:t>
            </w:r>
          </w:p>
          <w:p>
            <w:pPr>
              <w:spacing w:after="0" w:before="0"/>
            </w:pPr>
            <w:r>
              <w:rPr>
                <w:rFonts w:ascii="Arial" w:cs="Arial" w:eastAsia="Arial" w:hAnsi="Arial"/>
                <w:color w:val="57606A"/>
                <w:sz w:val="19"/>
                <w:szCs w:val="19"/>
              </w:rPr>
              <w:t xml:space="preserve">Navegá a Grafo de Nodos para visualizar las conexiones. Nodos azules = funcionarios, nodos rojos = proveedores. Las aristas muestran el tipo de vínculo detectado.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A89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single" w:color="00A896" w:sz="3"/>
              <w:bottom w:val="none" w:color="FFFFFF" w:sz="0"/>
              <w:right w:val="none" w:color="FFFFFF" w:sz="0"/>
            </w:tcBorders>
            <w:tcMar>
              <w:top w:type="dxa" w:w="80"/>
              <w:left w:type="dxa" w:w="160"/>
              <w:bottom w:type="dxa" w:w="80"/>
              <w:right w:type="dxa" w:w="100"/>
            </w:tcMar>
          </w:tcPr>
          <w:p>
            <w:pPr>
              <w:spacing w:after="30" w:before="0"/>
            </w:pPr>
            <w:r>
              <w:rPr>
                <w:rFonts w:ascii="Arial" w:cs="Arial" w:eastAsia="Arial" w:hAnsi="Arial"/>
                <w:b/>
                <w:bCs/>
                <w:color w:val="1A2332"/>
                <w:sz w:val="20"/>
                <w:szCs w:val="20"/>
              </w:rPr>
              <w:t xml:space="preserve">Acceder a la API para análisis avanzados</w:t>
            </w:r>
          </w:p>
          <w:p>
            <w:pPr>
              <w:spacing w:after="0" w:before="0"/>
            </w:pPr>
            <w:r>
              <w:rPr>
                <w:rFonts w:ascii="Arial" w:cs="Arial" w:eastAsia="Arial" w:hAnsi="Arial"/>
                <w:color w:val="57606A"/>
                <w:sz w:val="19"/>
                <w:szCs w:val="19"/>
              </w:rPr>
              <w:t xml:space="preserve">Consultá /api/docs para la documentación Swagger interactiva. Todos los endpoints son de libre acceso (GET) sin autenticación requerida.</w:t>
            </w:r>
          </w:p>
        </w:tc>
      </w:tr>
    </w:tbl>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04  </w:t>
      </w:r>
      <w:r>
        <w:rPr>
          <w:rFonts w:ascii="Arial" w:cs="Arial" w:eastAsia="Arial" w:hAnsi="Arial"/>
          <w:b/>
          <w:bCs/>
          <w:color w:val="1A2332"/>
          <w:sz w:val="28"/>
          <w:szCs w:val="28"/>
        </w:rPr>
        <w:t xml:space="preserve">Niveles de Alerta</w:t>
      </w:r>
    </w:p>
    <w:p>
      <w:pPr>
        <w:spacing w:after="0" w:before="100"/>
      </w:pPr>
      <w:r>
        <w:t xml:space="preserve"/>
      </w:r>
    </w:p>
    <w:p>
      <w:pPr>
        <w:spacing w:after="80" w:before="60"/>
      </w:pPr>
      <w:r>
        <w:rPr>
          <w:rFonts w:ascii="Arial" w:cs="Arial" w:eastAsia="Arial" w:hAnsi="Arial"/>
          <w:color w:val="1A2332"/>
          <w:sz w:val="20"/>
          <w:szCs w:val="20"/>
        </w:rPr>
        <w:t xml:space="preserve">El sistema genera tres niveles de alerta según el riesgo detectado: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22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426"/>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b/>
                <w:bCs/>
                <w:color w:val="FFFFFF"/>
                <w:sz w:val="18"/>
                <w:szCs w:val="18"/>
              </w:rPr>
              <w:t xml:space="preserve">Criterio de activación</w:t>
            </w:r>
          </w:p>
        </w:tc>
      </w:tr>
      <w:tr>
        <w:tc>
          <w:tcPr>
            <w:tcW w:type="dxa" w:w="14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r>
              <w:rPr>
                <w:rFonts w:ascii="Segoe UI Emoji" w:cs="Segoe UI Emoji" w:eastAsia="Segoe UI Emoji" w:hAnsi="Segoe UI Emoji"/>
                <w:b/>
                <w:bCs/>
                <w:color w:val="1A2332"/>
                <w:sz w:val="17"/>
                <w:szCs w:val="17"/>
              </w:rPr>
              <w:t xml:space="preserve">🔴  ALTA</w:t>
            </w:r>
          </w:p>
        </w:tc>
        <w:tc>
          <w:tcPr>
            <w:tcW w:type="dxa" w:w="2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8"/>
                <w:szCs w:val="18"/>
              </w:rPr>
              <w:t xml:space="preserve">Sobreprecio crítico</w:t>
            </w:r>
          </w:p>
        </w:tc>
        <w:tc>
          <w:tcPr>
            <w:tcW w:type="dxa" w:w="54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Contrato &gt;80% sobre la mediana del rubro/organismo.</w:t>
            </w:r>
          </w:p>
        </w:tc>
      </w:tr>
      <w:tr>
        <w:tc>
          <w:tcPr>
            <w:tcW w:type="dxa" w:w="14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r>
              <w:rPr>
                <w:rFonts w:ascii="Segoe UI Emoji" w:cs="Segoe UI Emoji" w:eastAsia="Segoe UI Emoji" w:hAnsi="Segoe UI Emoji"/>
                <w:b/>
                <w:bCs/>
                <w:color w:val="1A2332"/>
                <w:sz w:val="17"/>
                <w:szCs w:val="17"/>
              </w:rPr>
              <w:t xml:space="preserve">🔴  ALTA</w:t>
            </w:r>
          </w:p>
        </w:tc>
        <w:tc>
          <w:tcPr>
            <w:tcW w:type="dxa" w:w="2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8"/>
                <w:szCs w:val="18"/>
              </w:rPr>
              <w:t xml:space="preserve">Conflicto societario</w:t>
            </w:r>
          </w:p>
        </w:tc>
        <w:tc>
          <w:tcPr>
            <w:tcW w:type="dxa" w:w="54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CUIL del funcionario idéntico al CUIT del proveedor adjudicado.</w:t>
            </w:r>
          </w:p>
        </w:tc>
      </w:tr>
      <w:tr>
        <w:tc>
          <w:tcPr>
            <w:tcW w:type="dxa" w:w="14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r>
              <w:rPr>
                <w:rFonts w:ascii="Segoe UI Emoji" w:cs="Segoe UI Emoji" w:eastAsia="Segoe UI Emoji" w:hAnsi="Segoe UI Emoji"/>
                <w:b/>
                <w:bCs/>
                <w:color w:val="1A2332"/>
                <w:sz w:val="17"/>
                <w:szCs w:val="17"/>
              </w:rPr>
              <w:t xml:space="preserve">🟡  MEDIA</w:t>
            </w:r>
          </w:p>
        </w:tc>
        <w:tc>
          <w:tcPr>
            <w:tcW w:type="dxa" w:w="2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8"/>
                <w:szCs w:val="18"/>
              </w:rPr>
              <w:t xml:space="preserve">Sobreprecio moderado</w:t>
            </w:r>
          </w:p>
        </w:tc>
        <w:tc>
          <w:tcPr>
            <w:tcW w:type="dxa" w:w="54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Contrato entre 40% y 80% sobre la mediana del rubro.</w:t>
            </w:r>
          </w:p>
        </w:tc>
      </w:tr>
      <w:tr>
        <w:tc>
          <w:tcPr>
            <w:tcW w:type="dxa" w:w="14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r>
              <w:rPr>
                <w:rFonts w:ascii="Segoe UI Emoji" w:cs="Segoe UI Emoji" w:eastAsia="Segoe UI Emoji" w:hAnsi="Segoe UI Emoji"/>
                <w:b/>
                <w:bCs/>
                <w:color w:val="1A2332"/>
                <w:sz w:val="17"/>
                <w:szCs w:val="17"/>
              </w:rPr>
              <w:t xml:space="preserve">🟡  MEDIA</w:t>
            </w:r>
          </w:p>
        </w:tc>
        <w:tc>
          <w:tcPr>
            <w:tcW w:type="dxa" w:w="2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8"/>
                <w:szCs w:val="18"/>
              </w:rPr>
              <w:t xml:space="preserve">Concentración alta</w:t>
            </w:r>
          </w:p>
        </w:tc>
        <w:tc>
          <w:tcPr>
            <w:tcW w:type="dxa" w:w="54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Un proveedor concentra más del 30% del gasto de un organismo.</w:t>
            </w:r>
          </w:p>
        </w:tc>
      </w:tr>
      <w:tr>
        <w:tc>
          <w:tcPr>
            <w:tcW w:type="dxa" w:w="1400"/>
            <w:tcBorders>
              <w:top w:val="single" w:color="C8E6E3" w:sz="1"/>
              <w:left w:val="single" w:color="C8E6E3" w:sz="1"/>
              <w:bottom w:val="single" w:color="C8E6E3" w:sz="1"/>
              <w:right w:val="single" w:color="C8E6E3" w:sz="1"/>
            </w:tcBorders>
            <w:shd w:fill="E0F4F8" w:val="clear"/>
            <w:tcMar>
              <w:top w:type="dxa" w:w="80"/>
              <w:left w:type="dxa" w:w="120"/>
              <w:bottom w:type="dxa" w:w="80"/>
              <w:right w:type="dxa" w:w="120"/>
            </w:tcMar>
          </w:tcPr>
          <w:p>
            <w:r>
              <w:rPr>
                <w:rFonts w:ascii="Segoe UI Emoji" w:cs="Segoe UI Emoji" w:eastAsia="Segoe UI Emoji" w:hAnsi="Segoe UI Emoji"/>
                <w:b/>
                <w:bCs/>
                <w:color w:val="1A2332"/>
                <w:sz w:val="17"/>
                <w:szCs w:val="17"/>
              </w:rPr>
              <w:t xml:space="preserve">🟢  BAJA</w:t>
            </w:r>
          </w:p>
        </w:tc>
        <w:tc>
          <w:tcPr>
            <w:tcW w:type="dxa" w:w="2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b/>
                <w:bCs/>
                <w:color w:val="1A2332"/>
                <w:sz w:val="18"/>
                <w:szCs w:val="18"/>
              </w:rPr>
              <w:t xml:space="preserve">Parentesco posible</w:t>
            </w:r>
          </w:p>
        </w:tc>
        <w:tc>
          <w:tcPr>
            <w:tcW w:type="dxa" w:w="5426"/>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57606A"/>
                <w:sz w:val="18"/>
                <w:szCs w:val="18"/>
              </w:rPr>
              <w:t xml:space="preserve">Apellido de funcionario coincide con token de razón social del proveedor.</w:t>
            </w:r>
          </w:p>
        </w:tc>
      </w:tr>
    </w:tbl>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05  </w:t>
      </w:r>
      <w:r>
        <w:rPr>
          <w:rFonts w:ascii="Arial" w:cs="Arial" w:eastAsia="Arial" w:hAnsi="Arial"/>
          <w:b/>
          <w:bCs/>
          <w:color w:val="1A2332"/>
          <w:sz w:val="28"/>
          <w:szCs w:val="28"/>
        </w:rPr>
        <w:t xml:space="preserve">Motor XAI — Algoritmos de Detección</w:t>
      </w:r>
    </w:p>
    <w:p>
      <w:pPr>
        <w:spacing w:after="0" w:before="100"/>
      </w:pPr>
      <w:r>
        <w:t xml:space="preserve"/>
      </w:r>
    </w:p>
    <w:p>
      <w:pPr>
        <w:spacing w:after="80" w:before="60"/>
      </w:pPr>
      <w:r>
        <w:rPr>
          <w:rFonts w:ascii="Arial" w:cs="Arial" w:eastAsia="Arial" w:hAnsi="Arial"/>
          <w:color w:val="1A2332"/>
          <w:sz w:val="20"/>
          <w:szCs w:val="20"/>
        </w:rPr>
        <w:t xml:space="preserve">El núcleo del sistema está compuesto por tres matrices de detección que operan en forma automática:</w:t>
      </w:r>
    </w:p>
    <w:p>
      <w:pPr>
        <w:spacing w:after="0" w:before="80"/>
      </w:pPr>
      <w:r>
        <w:t xml:space="preserve"/>
      </w:r>
    </w:p>
    <w:p>
      <w:pPr>
        <w:spacing w:after="80" w:before="280"/>
      </w:pPr>
      <w:r>
        <w:rPr>
          <w:rFonts w:ascii="Arial" w:cs="Arial" w:eastAsia="Arial" w:hAnsi="Arial"/>
          <w:b/>
          <w:bCs/>
          <w:color w:val="00A896"/>
          <w:sz w:val="22"/>
          <w:szCs w:val="22"/>
        </w:rPr>
        <w:t xml:space="preserve">Matriz de Parentesco (matrix_kinship.py)</w:t>
      </w:r>
    </w:p>
    <w:p>
      <w:pPr>
        <w:spacing w:after="80" w:before="60"/>
      </w:pPr>
      <w:r>
        <w:rPr>
          <w:rFonts w:ascii="Arial" w:cs="Arial" w:eastAsia="Arial" w:hAnsi="Arial"/>
          <w:color w:val="1A2332"/>
          <w:sz w:val="20"/>
          <w:szCs w:val="20"/>
        </w:rPr>
        <w:t xml:space="preserve">Cruza los apellidos de la nómina de funcionarios contra los tokens de la razón social de cada proveedor adjudicado. Genera alerta ALTA cuando el proveedor opera para el mismo organismo que el funcionario con apellido coincidente.</w:t>
      </w:r>
    </w:p>
    <w:p>
      <w:pPr>
        <w:spacing w:after="0" w:before="60"/>
      </w:pPr>
      <w:r>
        <w:t xml:space="preserve"/>
      </w:r>
    </w:p>
    <w:p>
      <w:pPr>
        <w:spacing w:after="80" w:before="280"/>
      </w:pPr>
      <w:r>
        <w:rPr>
          <w:rFonts w:ascii="Arial" w:cs="Arial" w:eastAsia="Arial" w:hAnsi="Arial"/>
          <w:b/>
          <w:bCs/>
          <w:color w:val="00A896"/>
          <w:sz w:val="22"/>
          <w:szCs w:val="22"/>
        </w:rPr>
        <w:t xml:space="preserve">Matriz Societaria (matrix_corporate.py)</w:t>
      </w:r>
    </w:p>
    <w:p>
      <w:pPr>
        <w:spacing w:after="80" w:before="60"/>
      </w:pPr>
      <w:r>
        <w:rPr>
          <w:rFonts w:ascii="Arial" w:cs="Arial" w:eastAsia="Arial" w:hAnsi="Arial"/>
          <w:color w:val="1A2332"/>
          <w:sz w:val="20"/>
          <w:szCs w:val="20"/>
        </w:rPr>
        <w:t xml:space="preserve">Detecta cuando el CUIL de un funcionario es exactamente igual al CUIT de un proveedor adjudicado. Indica que una persona física es simultáneamente empleado estatal y proveedor del mismo Estado.</w:t>
      </w:r>
    </w:p>
    <w:p>
      <w:pPr>
        <w:spacing w:after="0" w:before="60"/>
      </w:pPr>
      <w:r>
        <w:t xml:space="preserve"/>
      </w:r>
    </w:p>
    <w:p>
      <w:pPr>
        <w:spacing w:after="80" w:before="280"/>
      </w:pPr>
      <w:r>
        <w:rPr>
          <w:rFonts w:ascii="Arial" w:cs="Arial" w:eastAsia="Arial" w:hAnsi="Arial"/>
          <w:b/>
          <w:bCs/>
          <w:color w:val="00A896"/>
          <w:sz w:val="22"/>
          <w:szCs w:val="22"/>
        </w:rPr>
        <w:t xml:space="preserve">Matriz de Flujo de Fondos (matrix_cashflow.py)</w:t>
      </w:r>
    </w:p>
    <w:p>
      <w:pPr>
        <w:pStyle w:val="ListParagraph"/>
        <w:numPr>
          <w:ilvl w:val="0"/>
          <w:numId w:val="2"/>
        </w:numPr>
        <w:spacing w:after="40" w:before="40"/>
      </w:pPr>
      <w:r>
        <w:rPr>
          <w:rFonts w:ascii="Arial" w:cs="Arial" w:eastAsia="Arial" w:hAnsi="Arial"/>
          <w:color w:val="1A2332"/>
          <w:sz w:val="20"/>
          <w:szCs w:val="20"/>
        </w:rPr>
        <w:t xml:space="preserve">Sobreprecio: contratos con precio &gt;40% sobre la mediana del rubro/organismo generan alerta MEDIA; si supera el 80%, la alerta es ALTA.</w:t>
      </w:r>
    </w:p>
    <w:p>
      <w:pPr>
        <w:pStyle w:val="ListParagraph"/>
        <w:numPr>
          <w:ilvl w:val="0"/>
          <w:numId w:val="2"/>
        </w:numPr>
        <w:spacing w:after="40" w:before="40"/>
      </w:pPr>
      <w:r>
        <w:rPr>
          <w:rFonts w:ascii="Arial" w:cs="Arial" w:eastAsia="Arial" w:hAnsi="Arial"/>
          <w:color w:val="1A2332"/>
          <w:sz w:val="20"/>
          <w:szCs w:val="20"/>
        </w:rPr>
        <w:t xml:space="preserve">Concentración: proveedor que concentra más del 30% del gasto total de un organismo genera alerta MEDIA o ALTA según el umbral.</w:t>
      </w:r>
    </w:p>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06  </w:t>
      </w:r>
      <w:r>
        <w:rPr>
          <w:rFonts w:ascii="Arial" w:cs="Arial" w:eastAsia="Arial" w:hAnsi="Arial"/>
          <w:b/>
          <w:bCs/>
          <w:color w:val="1A2332"/>
          <w:sz w:val="28"/>
          <w:szCs w:val="28"/>
        </w:rPr>
        <w:t xml:space="preserve">Referencia de la API REST</w:t>
      </w:r>
    </w:p>
    <w:p>
      <w:pPr>
        <w:spacing w:after="0" w:before="100"/>
      </w:pPr>
      <w:r>
        <w:t xml:space="preserve"/>
      </w:r>
    </w:p>
    <w:p>
      <w:pPr>
        <w:spacing w:after="80" w:before="60"/>
      </w:pPr>
      <w:r>
        <w:rPr>
          <w:rFonts w:ascii="Arial" w:cs="Arial" w:eastAsia="Arial" w:hAnsi="Arial"/>
          <w:color w:val="1A2332"/>
          <w:sz w:val="20"/>
          <w:szCs w:val="20"/>
        </w:rPr>
        <w:t xml:space="preserve">Todos los endpoints son de acceso libre (sin autenticación). Documentación interactiva disponible en /api/docs (Swagger UI).</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Método</w:t>
            </w:r>
          </w:p>
        </w:tc>
        <w:tc>
          <w:tcPr>
            <w:tcW w:type="dxa" w:w="280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Courier New" w:cs="Courier New" w:eastAsia="Courier New" w:hAnsi="Courier New"/>
                <w:color w:val="FFFFFF"/>
                <w:sz w:val="17"/>
                <w:szCs w:val="17"/>
              </w:rPr>
              <w:t xml:space="preserve">Endpoint</w:t>
            </w:r>
          </w:p>
        </w:tc>
        <w:tc>
          <w:tcPr>
            <w:tcW w:type="dxa" w:w="5360"/>
            <w:tcBorders>
              <w:top w:val="single" w:color="C8E6E3" w:sz="1"/>
              <w:left w:val="single" w:color="C8E6E3" w:sz="1"/>
              <w:bottom w:val="single" w:color="C8E6E3" w:sz="1"/>
              <w:right w:val="single" w:color="C8E6E3" w:sz="1"/>
            </w:tcBorders>
            <w:shd w:fill="00A896" w:val="clear"/>
            <w:tcMar>
              <w:top w:type="dxa" w:w="80"/>
              <w:left w:type="dxa" w:w="120"/>
              <w:bottom w:type="dxa" w:w="80"/>
              <w:right w:type="dxa" w:w="120"/>
            </w:tcMar>
          </w:tcPr>
          <w:p>
            <w:r>
              <w:rPr>
                <w:rFonts w:ascii="Arial" w:cs="Arial" w:eastAsia="Arial" w:hAnsi="Arial"/>
                <w:color w:val="FFFFFF"/>
                <w:sz w:val="18"/>
                <w:szCs w:val="18"/>
              </w:rPr>
              <w:t xml:space="preserve">Descripción</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/api/v1/kpis</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KPIs globales del sistema</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/api/v1/alertas</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Alertas activas (filtrable por nivel y tipo)</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/api/v1/contratos</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Contratos con filtros por organismo y proveedor</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/api/v1/contratos/comprar</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Procesos scrapeados de comprar.gob.ar</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/api/v1/contratos/top-proveedores</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Ranking de proveedores por monto adjudicado</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/api/v1/nomina</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Nómina de funcionarios con cargo y organismo</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/api/v1/grafo/nodos</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Nodos y aristas del grafo de relaciones</w:t>
            </w:r>
          </w:p>
        </w:tc>
      </w:tr>
      <w:tr>
        <w:trPr>
          <w:tblHeader w:val="false"/>
        </w:trPr>
        <w:tc>
          <w:tcPr>
            <w:tcW w:type="dxa" w:w="12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b/>
                <w:bCs/>
                <w:color w:val="00A896"/>
                <w:sz w:val="18"/>
                <w:szCs w:val="18"/>
              </w:rPr>
              <w:t xml:space="preserve">GET</w:t>
            </w:r>
          </w:p>
        </w:tc>
        <w:tc>
          <w:tcPr>
            <w:tcW w:type="dxa" w:w="280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Courier New" w:cs="Courier New" w:eastAsia="Courier New" w:hAnsi="Courier New"/>
                <w:color w:val="00A896"/>
                <w:sz w:val="17"/>
                <w:szCs w:val="17"/>
              </w:rPr>
              <w:t xml:space="preserve">/api/v1/health</w:t>
            </w:r>
          </w:p>
        </w:tc>
        <w:tc>
          <w:tcPr>
            <w:tcW w:type="dxa" w:w="5360"/>
            <w:tcBorders>
              <w:top w:val="single" w:color="C8E6E3" w:sz="1"/>
              <w:left w:val="single" w:color="C8E6E3" w:sz="1"/>
              <w:bottom w:val="single" w:color="C8E6E3" w:sz="1"/>
              <w:right w:val="single" w:color="C8E6E3" w:sz="1"/>
            </w:tcBorders>
            <w:shd w:fill="FFFFFF" w:val="clear"/>
            <w:tcMar>
              <w:top w:type="dxa" w:w="80"/>
              <w:left w:type="dxa" w:w="120"/>
              <w:bottom w:type="dxa" w:w="80"/>
              <w:right w:type="dxa" w:w="120"/>
            </w:tcMar>
          </w:tcPr>
          <w:p>
            <w:r>
              <w:rPr>
                <w:rFonts w:ascii="Arial" w:cs="Arial" w:eastAsia="Arial" w:hAnsi="Arial"/>
                <w:color w:val="1A2332"/>
                <w:sz w:val="18"/>
                <w:szCs w:val="18"/>
              </w:rPr>
              <w:t xml:space="preserve">Estado del sistema y conexión a base de datos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96" w:sz="1"/>
              <w:left w:val="single" w:color="00A896" w:sz="8"/>
              <w:bottom w:val="single" w:color="00A896" w:sz="1"/>
              <w:right w:val="single" w:color="00A896" w:sz="1"/>
            </w:tcBorders>
            <w:shd w:fill="E0F4F8" w:val="clear"/>
            <w:tcMar>
              <w:top w:type="dxa" w:w="100"/>
              <w:left w:type="dxa" w:w="200"/>
              <w:bottom w:type="dxa" w:w="100"/>
              <w:right w:type="dxa" w:w="160"/>
            </w:tcMar>
          </w:tcPr>
          <w:p>
            <w:r>
              <w:rPr>
                <w:rFonts w:ascii="Arial" w:cs="Arial" w:eastAsia="Arial" w:hAnsi="Arial"/>
                <w:color w:val="1A2332"/>
                <w:sz w:val="19"/>
                <w:szCs w:val="19"/>
              </w:rPr>
              <w:t xml:space="preserve">💡  Tip avanzado: Para cruzar datos programáticamente, combiná /api/v1/nomina?organismo=JGM con /api/v1/contratos?organismo=JGM y buscá CUILs de funcionarios que aparezcan como CUIT de proveedor. La Matriz Societaria ya hace esto automáticamente.</w:t>
            </w:r>
          </w:p>
        </w:tc>
      </w:tr>
    </w:tbl>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07  </w:t>
      </w:r>
      <w:r>
        <w:rPr>
          <w:rFonts w:ascii="Arial" w:cs="Arial" w:eastAsia="Arial" w:hAnsi="Arial"/>
          <w:b/>
          <w:bCs/>
          <w:color w:val="1A2332"/>
          <w:sz w:val="28"/>
          <w:szCs w:val="28"/>
        </w:rPr>
        <w:t xml:space="preserve">Instalación y Configuración Local</w:t>
      </w:r>
    </w:p>
    <w:p>
      <w:pPr>
        <w:spacing w:after="0" w:before="100"/>
      </w:pPr>
      <w:r>
        <w:t xml:space="preserve"/>
      </w:r>
    </w:p>
    <w:p>
      <w:pPr>
        <w:spacing w:after="80" w:before="60"/>
      </w:pPr>
      <w:r>
        <w:rPr>
          <w:rFonts w:ascii="Arial" w:cs="Arial" w:eastAsia="Arial" w:hAnsi="Arial"/>
          <w:color w:val="1A2332"/>
          <w:sz w:val="20"/>
          <w:szCs w:val="20"/>
        </w:rPr>
        <w:t xml:space="preserve">Requisitos previos: Python 3.11+, PostgreSQL 15+ (o Docker), Git.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Clonar el repositorio</w:t>
            </w:r>
          </w:p>
          <w:p>
            <w:pPr>
              <w:spacing w:after="0" w:before="0"/>
            </w:pPr>
            <w:r>
              <w:rPr>
                <w:rFonts w:ascii="Courier New" w:cs="Courier New" w:eastAsia="Courier New" w:hAnsi="Courier New"/>
                <w:color w:val="00A896"/>
                <w:sz w:val="18"/>
                <w:szCs w:val="18"/>
              </w:rPr>
              <w:t xml:space="preserve">git clone https://github.com/Viny2030/jefatura_gabinete.git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Crear entorno virtual</w:t>
            </w:r>
          </w:p>
          <w:p>
            <w:pPr>
              <w:spacing w:after="0" w:before="0"/>
            </w:pPr>
            <w:r>
              <w:rPr>
                <w:rFonts w:ascii="Courier New" w:cs="Courier New" w:eastAsia="Courier New" w:hAnsi="Courier New"/>
                <w:color w:val="00A896"/>
                <w:sz w:val="18"/>
                <w:szCs w:val="18"/>
              </w:rPr>
              <w:t xml:space="preserve">cd jefatura_gabinete &amp;&amp; python -m venv .venv</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Activar el entorno</w:t>
            </w:r>
          </w:p>
          <w:p>
            <w:pPr>
              <w:spacing w:after="0" w:before="0"/>
            </w:pPr>
            <w:r>
              <w:rPr>
                <w:rFonts w:ascii="Courier New" w:cs="Courier New" w:eastAsia="Courier New" w:hAnsi="Courier New"/>
                <w:color w:val="00A896"/>
                <w:sz w:val="18"/>
                <w:szCs w:val="18"/>
              </w:rPr>
              <w:t xml:space="preserve">.venv\Scripts\activate  # Windows PowerShell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Instalar dependencias</w:t>
            </w:r>
          </w:p>
          <w:p>
            <w:pPr>
              <w:spacing w:after="0" w:before="0"/>
            </w:pPr>
            <w:r>
              <w:rPr>
                <w:rFonts w:ascii="Courier New" w:cs="Courier New" w:eastAsia="Courier New" w:hAnsi="Courier New"/>
                <w:color w:val="00A896"/>
                <w:sz w:val="18"/>
                <w:szCs w:val="18"/>
              </w:rPr>
              <w:t xml:space="preserve">pip install -r requirements.txt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Configurar base de datos</w:t>
            </w:r>
          </w:p>
          <w:p>
            <w:pPr>
              <w:spacing w:after="0" w:before="0"/>
            </w:pPr>
            <w:r>
              <w:rPr>
                <w:rFonts w:ascii="Courier New" w:cs="Courier New" w:eastAsia="Courier New" w:hAnsi="Courier New"/>
                <w:color w:val="00A896"/>
                <w:sz w:val="18"/>
                <w:szCs w:val="18"/>
              </w:rPr>
              <w:t xml:space="preserve">cp .env.example .env  # Editar con tu DATABASE_URL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Crear esquema</w:t>
            </w:r>
          </w:p>
          <w:p>
            <w:pPr>
              <w:spacing w:after="0" w:before="0"/>
            </w:pPr>
            <w:r>
              <w:rPr>
                <w:rFonts w:ascii="Courier New" w:cs="Courier New" w:eastAsia="Courier New" w:hAnsi="Courier New"/>
                <w:color w:val="00A896"/>
                <w:sz w:val="18"/>
                <w:szCs w:val="18"/>
              </w:rPr>
              <w:t xml:space="preserve">psql $DATABASE_URL -f src/database/schema.sql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6" w:sz="6"/>
              <w:bottom w:val="none" w:color="FFFFFF" w:sz="0"/>
              <w:right w:val="none" w:color="FFFFFF" w:sz="0"/>
            </w:tcBorders>
            <w:shd w:fill="F0FAFA" w:val="clear"/>
            <w:tcMar>
              <w:top w:type="dxa" w:w="80"/>
              <w:left w:type="dxa" w:w="200"/>
              <w:bottom w:type="dxa" w:w="80"/>
              <w:right w:type="dxa" w:w="100"/>
            </w:tcMar>
          </w:tcPr>
          <w:p>
            <w:pPr>
              <w:spacing w:after="20" w:before="0"/>
            </w:pPr>
            <w:r>
              <w:rPr>
                <w:rFonts w:ascii="Arial" w:cs="Arial" w:eastAsia="Arial" w:hAnsi="Arial"/>
                <w:i/>
                <w:iCs/>
                <w:color w:val="57606A"/>
                <w:sz w:val="17"/>
                <w:szCs w:val="17"/>
              </w:rPr>
              <w:t xml:space="preserve">Levantar la API</w:t>
            </w:r>
          </w:p>
          <w:p>
            <w:pPr>
              <w:spacing w:after="0" w:before="0"/>
            </w:pPr>
            <w:r>
              <w:rPr>
                <w:rFonts w:ascii="Courier New" w:cs="Courier New" w:eastAsia="Courier New" w:hAnsi="Courier New"/>
                <w:color w:val="00A896"/>
                <w:sz w:val="18"/>
                <w:szCs w:val="18"/>
              </w:rPr>
              <w:t xml:space="preserve">uvicorn src.api.api_server:app --reload --port 8000</w:t>
            </w:r>
          </w:p>
        </w:tc>
      </w:tr>
    </w:tbl>
    <w:p>
      <w:pPr>
        <w:spacing w:after="0" w:before="60"/>
      </w:pPr>
      <w:r>
        <w:t xml:space="preserve"/>
      </w:r>
    </w:p>
    <w:p>
      <w:pPr>
        <w:spacing w:after="0" w:before="200"/>
      </w:pPr>
      <w:r>
        <w:t xml:space="preserve"/>
      </w:r>
    </w:p>
    <w:p>
      <w:pPr>
        <w:pBdr>
          <w:bottom w:val="single" w:color="00A896" w:sz="4" w:space="4"/>
        </w:pBdr>
        <w:spacing w:after="120" w:before="400"/>
      </w:pPr>
      <w:r>
        <w:rPr>
          <w:rFonts w:ascii="Arial" w:cs="Arial" w:eastAsia="Arial" w:hAnsi="Arial"/>
          <w:b/>
          <w:bCs/>
          <w:color w:val="00A896"/>
          <w:sz w:val="28"/>
          <w:szCs w:val="28"/>
        </w:rPr>
        <w:t xml:space="preserve">08  </w:t>
      </w:r>
      <w:r>
        <w:rPr>
          <w:rFonts w:ascii="Arial" w:cs="Arial" w:eastAsia="Arial" w:hAnsi="Arial"/>
          <w:b/>
          <w:bCs/>
          <w:color w:val="1A2332"/>
          <w:sz w:val="28"/>
          <w:szCs w:val="28"/>
        </w:rPr>
        <w:t xml:space="preserve">Deploy en Railway</w:t>
      </w:r>
    </w:p>
    <w:p>
      <w:pPr>
        <w:spacing w:after="0" w:before="100"/>
      </w:pPr>
      <w:r>
        <w:t xml:space="preserve"/>
      </w:r>
    </w:p>
    <w:p>
      <w:pPr>
        <w:pStyle w:val="ListParagraph"/>
        <w:numPr>
          <w:ilvl w:val="0"/>
          <w:numId w:val="2"/>
        </w:numPr>
        <w:spacing w:after="40" w:before="40"/>
      </w:pPr>
      <w:r>
        <w:rPr>
          <w:rFonts w:ascii="Arial" w:cs="Arial" w:eastAsia="Arial" w:hAnsi="Arial"/>
          <w:color w:val="1A2332"/>
          <w:sz w:val="20"/>
          <w:szCs w:val="20"/>
        </w:rPr>
        <w:t xml:space="preserve">Crear proyecto en Railway y agregar servicio PostgreSQL.</w:t>
      </w:r>
    </w:p>
    <w:p>
      <w:pPr>
        <w:pStyle w:val="ListParagraph"/>
        <w:numPr>
          <w:ilvl w:val="0"/>
          <w:numId w:val="2"/>
        </w:numPr>
        <w:spacing w:after="40" w:before="40"/>
      </w:pPr>
      <w:r>
        <w:rPr>
          <w:rFonts w:ascii="Arial" w:cs="Arial" w:eastAsia="Arial" w:hAnsi="Arial"/>
          <w:color w:val="1A2332"/>
          <w:sz w:val="20"/>
          <w:szCs w:val="20"/>
        </w:rPr>
        <w:t xml:space="preserve">Copiar DATABASE_URL de Railway a las variables de entorno del servicio web.</w:t>
      </w:r>
    </w:p>
    <w:p>
      <w:pPr>
        <w:pStyle w:val="ListParagraph"/>
        <w:numPr>
          <w:ilvl w:val="0"/>
          <w:numId w:val="2"/>
        </w:numPr>
        <w:spacing w:after="40" w:before="40"/>
      </w:pPr>
      <w:r>
        <w:rPr>
          <w:rFonts w:ascii="Arial" w:cs="Arial" w:eastAsia="Arial" w:hAnsi="Arial"/>
          <w:color w:val="1A2332"/>
          <w:sz w:val="20"/>
          <w:szCs w:val="20"/>
        </w:rPr>
        <w:t xml:space="preserve">Conectar el repositorio GitHub — Railway detecta el Dockerfile automáticamente.</w:t>
      </w:r>
    </w:p>
    <w:p>
      <w:pPr>
        <w:pStyle w:val="ListParagraph"/>
        <w:numPr>
          <w:ilvl w:val="0"/>
          <w:numId w:val="2"/>
        </w:numPr>
        <w:spacing w:after="40" w:before="40"/>
      </w:pPr>
      <w:r>
        <w:rPr>
          <w:rFonts w:ascii="Arial" w:cs="Arial" w:eastAsia="Arial" w:hAnsi="Arial"/>
          <w:color w:val="1A2332"/>
          <w:sz w:val="20"/>
          <w:szCs w:val="20"/>
        </w:rPr>
        <w:t xml:space="preserve">Agregar DATABASE_URL como secreto en GitHub Actions (Settings → Secrets).</w:t>
      </w:r>
    </w:p>
    <w:p>
      <w:pPr>
        <w:pStyle w:val="ListParagraph"/>
        <w:numPr>
          <w:ilvl w:val="0"/>
          <w:numId w:val="2"/>
        </w:numPr>
        <w:spacing w:after="40" w:before="40"/>
      </w:pPr>
      <w:r>
        <w:rPr>
          <w:rFonts w:ascii="Arial" w:cs="Arial" w:eastAsia="Arial" w:hAnsi="Arial"/>
          <w:color w:val="1A2332"/>
          <w:sz w:val="20"/>
          <w:szCs w:val="20"/>
        </w:rPr>
        <w:t xml:space="preserve">Los scrapers corren diariamente a las 6 AM UTC via GitHub Actions (.github/workflows/).</w:t>
      </w:r>
    </w:p>
    <w:p>
      <w:pPr>
        <w:spacing w:after="0" w:before="300"/>
      </w:pPr>
      <w:r>
        <w:t xml:space="preserve"/>
      </w:r>
    </w:p>
    <w:p>
      <w:pPr>
        <w:pBdr>
          <w:top w:val="single" w:color="C8E6E3" w:sz="2" w:space="6"/>
        </w:pBdr>
        <w:spacing w:after="60" w:before="200"/>
        <w:jc w:val="center"/>
      </w:pPr>
      <w:r>
        <w:rPr>
          <w:rFonts w:ascii="Arial" w:cs="Arial" w:eastAsia="Arial" w:hAnsi="Arial"/>
          <w:color w:val="57606A"/>
          <w:sz w:val="17"/>
          <w:szCs w:val="17"/>
        </w:rPr>
        <w:t xml:space="preserve">Monitor XAI · Portal Anticorrupción · Poder Ejecutivo Nacional Argentina</w:t>
      </w:r>
    </w:p>
    <w:p>
      <w:pPr>
        <w:jc w:val="center"/>
      </w:pPr>
      <w:r>
        <w:rPr>
          <w:rFonts w:ascii="Arial" w:cs="Arial" w:eastAsia="Arial" w:hAnsi="Arial"/>
          <w:color w:val="57606A"/>
          <w:sz w:val="16"/>
          <w:szCs w:val="16"/>
        </w:rPr>
        <w:t xml:space="preserve">Código fuente: github.com/Viny2030/jefatura_gabinete  ·  Licencia MIT  ·  No afiliado al gobierno argentino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E3" w:sz="2" w:space="6"/>
      </w:pBdr>
      <w:jc w:val="center"/>
    </w:pPr>
    <w:r>
      <w:rPr>
        <w:rFonts w:ascii="Arial" w:cs="Arial" w:eastAsia="Arial" w:hAnsi="Arial"/>
        <w:color w:val="57606A"/>
        <w:sz w:val="16"/>
        <w:szCs w:val="16"/>
      </w:rPr>
      <w:t xml:space="preserve">Portal Anticorrupción · Poder Ejecutivo Nacional Argentina  |  Página </w:t>
    </w:r>
    <w:r>
      <w:rPr>
        <w:rFonts w:ascii="Arial" w:cs="Arial" w:eastAsia="Arial" w:hAnsi="Arial"/>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single" w:color="00A896" w:sz="3"/>
            <w:right w:val="none" w:color="FFFFFF" w:sz="0"/>
          </w:tcBorders>
          <w:tcMar>
            <w:top w:type="dxa" w:w="0"/>
            <w:left w:type="dxa" w:w="0"/>
            <w:bottom w:type="dxa" w:w="60"/>
            <w:right w:type="dxa" w:w="0"/>
          </w:tcMar>
        </w:tcPr>
        <w:p>
          <w:r>
            <w:rPr>
              <w:rFonts w:ascii="Arial" w:cs="Arial" w:eastAsia="Arial" w:hAnsi="Arial"/>
              <w:b/>
              <w:bCs/>
              <w:color w:val="00A896"/>
              <w:sz w:val="18"/>
              <w:szCs w:val="18"/>
            </w:rPr>
            <w:t xml:space="preserve">Monitor XAI</w:t>
          </w:r>
          <w:r>
            <w:rPr>
              <w:rFonts w:ascii="Arial" w:cs="Arial" w:eastAsia="Arial" w:hAnsi="Arial"/>
              <w:color w:val="57606A"/>
              <w:sz w:val="18"/>
              <w:szCs w:val="18"/>
            </w:rPr>
            <w:t xml:space="preserve">  ·  Manual de Usuario</w:t>
          </w:r>
        </w:p>
      </w:tc>
      <w:tc>
        <w:tcPr>
          <w:tcW w:type="dxa" w:w="3026"/>
          <w:tcBorders>
            <w:top w:val="none" w:color="FFFFFF" w:sz="0"/>
            <w:left w:val="none" w:color="FFFFFF" w:sz="0"/>
            <w:bottom w:val="single" w:color="00A896" w:sz="3"/>
            <w:right w:val="none" w:color="FFFFFF" w:sz="0"/>
          </w:tcBorders>
          <w:tcMar>
            <w:top w:type="dxa" w:w="0"/>
            <w:left w:type="dxa" w:w="0"/>
            <w:bottom w:type="dxa" w:w="60"/>
            <w:right w:type="dxa" w:w="0"/>
          </w:tcMar>
        </w:tcPr>
        <w:p>
          <w:pPr>
            <w:jc w:val="right"/>
          </w:pPr>
          <w:r>
            <w:rPr>
              <w:rFonts w:ascii="Arial" w:cs="Arial" w:eastAsia="Arial" w:hAnsi="Arial"/>
              <w:color w:val="57606A"/>
              <w:sz w:val="16"/>
              <w:szCs w:val="16"/>
            </w:rPr>
            <w:t xml:space="preserve">Ph.D. Vicente H. Monteverde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2026-04-13T12:44:58.369Z</dcterms:created>
  <dcterms:modified xsi:type="dcterms:W3CDTF">2026-04-13T12:44:58.370Z</dcterms:modified>
</cp:coreProperties>
</file>

<file path=docProps/custom.xml><?xml version="1.0" encoding="utf-8"?>
<Properties xmlns="http://schemas.openxmlformats.org/officeDocument/2006/custom-properties" xmlns:vt="http://schemas.openxmlformats.org/officeDocument/2006/docPropsVTypes"/>
</file>