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1E1B4B" w:val="clear"/>
            <w:tcMar>
              <w:top w:type="dxa" w:w="600"/>
              <w:left w:type="dxa" w:w="480"/>
              <w:bottom w:type="dxa" w:w="600"/>
              <w:right w:type="dxa" w:w="480"/>
            </w:tcMar>
          </w:tcPr>
          <w:p>
            <w:pPr>
              <w:spacing w:after="120" w:before="0"/>
              <w:jc w:val="center"/>
            </w:pPr>
            <w:r>
              <w:rPr>
                <w:rFonts w:ascii="Arial" w:cs="Arial" w:eastAsia="Arial" w:hAnsi="Arial"/>
                <w:b/>
                <w:bCs/>
                <w:color w:val="FFFFFF"/>
                <w:sz w:val="52"/>
                <w:szCs w:val="52"/>
              </w:rPr>
              <w:t xml:space="preserve">⚖️  Monitor de Contratos y Licitaciones Públicas</w:t>
            </w:r>
          </w:p>
          <w:p>
            <w:pPr>
              <w:spacing w:after="60" w:before="0"/>
              <w:jc w:val="center"/>
            </w:pPr>
            <w:r>
              <w:rPr>
                <w:rFonts w:ascii="Arial" w:cs="Arial" w:eastAsia="Arial" w:hAnsi="Arial"/>
                <w:color w:val="C4B5FD"/>
                <w:sz w:val="32"/>
                <w:szCs w:val="32"/>
              </w:rPr>
              <w:t xml:space="preserve">Instructivo completo de uso</w:t>
            </w:r>
          </w:p>
          <w:p>
            <w:pPr>
              <w:spacing w:after="0" w:before="120"/>
              <w:jc w:val="center"/>
            </w:pPr>
            <w:r>
              <w:rPr>
                <w:rFonts w:ascii="Arial" w:cs="Arial" w:eastAsia="Arial" w:hAnsi="Arial"/>
                <w:i/>
                <w:iCs/>
                <w:color w:val="A78BFA"/>
                <w:sz w:val="22"/>
                <w:szCs w:val="22"/>
              </w:rPr>
              <w:t xml:space="preserve">Ph.D. Vicente Humberto Monteverde  ·  Algoritmos contra la Corrupción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B5FD" w:sz="1"/>
              <w:left w:val="single" w:color="C4B5FD" w:sz="1"/>
              <w:bottom w:val="single" w:color="C4B5FD" w:sz="1"/>
              <w:right w:val="single" w:color="C4B5FD" w:sz="1"/>
            </w:tcBorders>
            <w:shd w:fill="EDE9FE" w:val="clear"/>
            <w:tcMar>
              <w:top w:type="dxa" w:w="120"/>
              <w:left w:type="dxa" w:w="180"/>
              <w:bottom w:type="dxa" w:w="120"/>
              <w:right w:type="dxa" w:w="180"/>
            </w:tcMar>
          </w:tcPr>
          <w:p>
            <w:pPr>
              <w:spacing w:after="40" w:before="0"/>
            </w:pPr>
            <w:r>
              <w:rPr>
                <w:rFonts w:ascii="Arial" w:cs="Arial" w:eastAsia="Arial" w:hAnsi="Arial"/>
                <w:b/>
                <w:bCs/>
                <w:color w:val="4C1D95"/>
                <w:sz w:val="18"/>
                <w:szCs w:val="18"/>
              </w:rPr>
              <w:t xml:space="preserve">Versión</w:t>
            </w:r>
          </w:p>
          <w:p>
            <w:pPr>
              <w:spacing w:after="0" w:before="0"/>
            </w:pPr>
            <w:r>
              <w:rPr>
                <w:rFonts w:ascii="Arial" w:cs="Arial" w:eastAsia="Arial" w:hAnsi="Arial"/>
                <w:color w:val="1E1B4B"/>
                <w:sz w:val="20"/>
                <w:szCs w:val="20"/>
              </w:rPr>
              <w:t xml:space="preserve">v2.0 — Dashboard Integrado</w:t>
            </w:r>
          </w:p>
        </w:tc>
        <w:tc>
          <w:tcPr>
            <w:tcW w:type="dxa" w:w="4680"/>
            <w:tcBorders>
              <w:top w:val="single" w:color="C4B5FD" w:sz="1"/>
              <w:left w:val="single" w:color="C4B5FD" w:sz="1"/>
              <w:bottom w:val="single" w:color="C4B5FD" w:sz="1"/>
              <w:right w:val="single" w:color="C4B5FD" w:sz="1"/>
            </w:tcBorders>
            <w:shd w:fill="EDE9FE" w:val="clear"/>
            <w:tcMar>
              <w:top w:type="dxa" w:w="120"/>
              <w:left w:type="dxa" w:w="180"/>
              <w:bottom w:type="dxa" w:w="120"/>
              <w:right w:type="dxa" w:w="180"/>
            </w:tcMar>
          </w:tcPr>
          <w:p>
            <w:pPr>
              <w:spacing w:after="40" w:before="0"/>
            </w:pPr>
            <w:r>
              <w:rPr>
                <w:rFonts w:ascii="Arial" w:cs="Arial" w:eastAsia="Arial" w:hAnsi="Arial"/>
                <w:b/>
                <w:bCs/>
                <w:color w:val="4C1D95"/>
                <w:sz w:val="18"/>
                <w:szCs w:val="18"/>
              </w:rPr>
              <w:t xml:space="preserve">Fuente de datos</w:t>
            </w:r>
          </w:p>
          <w:p>
            <w:pPr>
              <w:spacing w:after="0" w:before="0"/>
            </w:pPr>
            <w:r>
              <w:rPr>
                <w:rFonts w:ascii="Arial" w:cs="Arial" w:eastAsia="Arial" w:hAnsi="Arial"/>
                <w:color w:val="1E1B4B"/>
                <w:sz w:val="20"/>
                <w:szCs w:val="20"/>
              </w:rPr>
              <w:t xml:space="preserve">BORA → Comprar.gob.ar → TGN</w:t>
            </w:r>
          </w:p>
        </w:tc>
      </w:tr>
    </w:tbl>
    <w:p>
      <w:pPr>
        <w:spacing w:after="80" w:before="80"/>
      </w:pPr>
      <w:r>
        <w:t xml:space="preserve"/>
      </w:r>
    </w:p>
    <w:p>
      <w:pPr>
        <w:pageBreakBefore/>
      </w:pPr>
      <w:r>
        <w:t xml:space="preserve"/>
      </w:r>
    </w:p>
    <w:p>
      <w:pPr>
        <w:pStyle w:val="Heading1"/>
        <w:spacing w:after="120" w:before="360"/>
      </w:pPr>
      <w:r>
        <w:rPr>
          <w:rFonts w:ascii="Arial" w:cs="Arial" w:eastAsia="Arial" w:hAnsi="Arial"/>
          <w:b/>
          <w:bCs/>
          <w:color w:val="1E1B4B"/>
          <w:sz w:val="36"/>
          <w:szCs w:val="36"/>
        </w:rPr>
        <w:t xml:space="preserve">Índice de contenidos</w:t>
      </w:r>
    </w:p>
    <w:sdt>
      <w:sdtPr>
        <w:alias w:val="Tabla de Contenido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spacing w:after="120" w:before="360"/>
      </w:pPr>
      <w:r>
        <w:rPr>
          <w:rFonts w:ascii="Arial" w:cs="Arial" w:eastAsia="Arial" w:hAnsi="Arial"/>
          <w:b/>
          <w:bCs/>
          <w:color w:val="1E1B4B"/>
          <w:sz w:val="36"/>
          <w:szCs w:val="36"/>
        </w:rPr>
        <w:t xml:space="preserve">1. ¿Qué es el Monitor de Contratos?</w:t>
      </w:r>
    </w:p>
    <w:p>
      <w:pPr>
        <w:spacing w:after="80" w:before="60"/>
      </w:pPr>
      <w:r>
        <w:rPr>
          <w:rFonts w:ascii="Arial" w:cs="Arial" w:eastAsia="Arial" w:hAnsi="Arial"/>
          <w:color w:val="1F1F1F"/>
          <w:sz w:val="22"/>
          <w:szCs w:val="22"/>
        </w:rPr>
        <w:t xml:space="preserve">El Monitor de Contratos y Licitaciones Públicas es una herramienta de análisis algorítmico que permite rastrear el gasto público argentino desde su publicación oficial hasta la confirmación del cobro real. Su diferencial exclusivo es la trazabilidad completa del dinero a través de tres fuentes: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4B5FD" w:sz="1"/>
              <w:left w:val="single" w:color="C4B5FD" w:sz="1"/>
              <w:bottom w:val="single" w:color="C4B5FD" w:sz="1"/>
              <w:right w:val="single" w:color="C4B5FD" w:sz="1"/>
            </w:tcBorders>
            <w:shd w:fill="EDE9FE" w:val="clear"/>
            <w:tcMar>
              <w:top w:type="dxa" w:w="120"/>
              <w:left w:type="dxa" w:w="160"/>
              <w:bottom w:type="dxa" w:w="120"/>
              <w:right w:type="dxa" w:w="160"/>
            </w:tcMar>
          </w:tcPr>
          <w:p>
            <w:pPr>
              <w:spacing w:after="40" w:before="0"/>
              <w:jc w:val="center"/>
            </w:pPr>
            <w:r>
              <w:rPr>
                <w:rFonts w:ascii="Arial" w:cs="Arial" w:eastAsia="Arial" w:hAnsi="Arial"/>
                <w:b/>
                <w:bCs/>
                <w:color w:val="5B21B6"/>
                <w:sz w:val="24"/>
                <w:szCs w:val="24"/>
              </w:rPr>
              <w:t xml:space="preserve">📰  BORA</w:t>
            </w:r>
          </w:p>
          <w:p>
            <w:pPr>
              <w:spacing w:after="0" w:before="0"/>
              <w:jc w:val="center"/>
            </w:pPr>
            <w:r>
              <w:rPr>
                <w:rFonts w:ascii="Arial" w:cs="Arial" w:eastAsia="Arial" w:hAnsi="Arial"/>
                <w:color w:val="1F1F1F"/>
                <w:sz w:val="18"/>
                <w:szCs w:val="18"/>
              </w:rPr>
              <w:t xml:space="preserve">Boletín Oficial de la República Argentina — publicación de adjudicaciones</w:t>
            </w:r>
          </w:p>
        </w:tc>
        <w:tc>
          <w:tcPr>
            <w:tcW w:type="dxa" w:w="3120"/>
            <w:tcBorders>
              <w:top w:val="single" w:color="C4B5FD" w:sz="1"/>
              <w:left w:val="single" w:color="C4B5FD" w:sz="1"/>
              <w:bottom w:val="single" w:color="C4B5FD" w:sz="1"/>
              <w:right w:val="single" w:color="C4B5FD" w:sz="1"/>
            </w:tcBorders>
            <w:shd w:fill="EEF2FF" w:val="clear"/>
            <w:tcMar>
              <w:top w:type="dxa" w:w="120"/>
              <w:left w:type="dxa" w:w="160"/>
              <w:bottom w:type="dxa" w:w="120"/>
              <w:right w:type="dxa" w:w="160"/>
            </w:tcMar>
          </w:tcPr>
          <w:p>
            <w:pPr>
              <w:spacing w:after="40" w:before="0"/>
              <w:jc w:val="center"/>
            </w:pPr>
            <w:r>
              <w:rPr>
                <w:rFonts w:ascii="Arial" w:cs="Arial" w:eastAsia="Arial" w:hAnsi="Arial"/>
                <w:b/>
                <w:bCs/>
                <w:color w:val="5B21B6"/>
                <w:sz w:val="24"/>
                <w:szCs w:val="24"/>
              </w:rPr>
              <w:t xml:space="preserve">🛒  Comprar.gob.ar</w:t>
            </w:r>
          </w:p>
          <w:p>
            <w:pPr>
              <w:spacing w:after="0" w:before="0"/>
              <w:jc w:val="center"/>
            </w:pPr>
            <w:r>
              <w:rPr>
                <w:rFonts w:ascii="Arial" w:cs="Arial" w:eastAsia="Arial" w:hAnsi="Arial"/>
                <w:color w:val="1F1F1F"/>
                <w:sz w:val="18"/>
                <w:szCs w:val="18"/>
              </w:rPr>
              <w:t xml:space="preserve">Portal de compras públicas — proceso licitatorio y adjudicación formal</w:t>
            </w:r>
          </w:p>
        </w:tc>
        <w:tc>
          <w:tcPr>
            <w:tcW w:type="dxa" w:w="3120"/>
            <w:tcBorders>
              <w:top w:val="single" w:color="C4B5FD" w:sz="1"/>
              <w:left w:val="single" w:color="C4B5FD" w:sz="1"/>
              <w:bottom w:val="single" w:color="C4B5FD" w:sz="1"/>
              <w:right w:val="single" w:color="C4B5FD" w:sz="1"/>
            </w:tcBorders>
            <w:shd w:fill="F0FDF4" w:val="clear"/>
            <w:tcMar>
              <w:top w:type="dxa" w:w="120"/>
              <w:left w:type="dxa" w:w="160"/>
              <w:bottom w:type="dxa" w:w="120"/>
              <w:right w:type="dxa" w:w="160"/>
            </w:tcMar>
          </w:tcPr>
          <w:p>
            <w:pPr>
              <w:spacing w:after="40" w:before="0"/>
              <w:jc w:val="center"/>
            </w:pPr>
            <w:r>
              <w:rPr>
                <w:rFonts w:ascii="Arial" w:cs="Arial" w:eastAsia="Arial" w:hAnsi="Arial"/>
                <w:b/>
                <w:bCs/>
                <w:color w:val="059669"/>
                <w:sz w:val="24"/>
                <w:szCs w:val="24"/>
              </w:rPr>
              <w:t xml:space="preserve">💰  TGN</w:t>
            </w:r>
          </w:p>
          <w:p>
            <w:pPr>
              <w:spacing w:after="0" w:before="0"/>
              <w:jc w:val="center"/>
            </w:pPr>
            <w:r>
              <w:rPr>
                <w:rFonts w:ascii="Arial" w:cs="Arial" w:eastAsia="Arial" w:hAnsi="Arial"/>
                <w:color w:val="1F1F1F"/>
                <w:sz w:val="18"/>
                <w:szCs w:val="18"/>
              </w:rPr>
              <w:t xml:space="preserve">Tesorería General de la Nación — confirmación de pago efectivo</w:t>
            </w:r>
          </w:p>
        </w:tc>
      </w:tr>
    </w:tbl>
    <w:p>
      <w:pPr>
        <w:spacing w:after="80" w:before="80"/>
      </w:pPr>
      <w:r>
        <w:t xml:space="preserve"/>
      </w:r>
    </w:p>
    <w:p>
      <w:pPr>
        <w:spacing w:after="80" w:before="60"/>
      </w:pPr>
      <w:r>
        <w:rPr>
          <w:rFonts w:ascii="Arial" w:cs="Arial" w:eastAsia="Arial" w:hAnsi="Arial"/>
          <w:color w:val="1F1F1F"/>
          <w:sz w:val="22"/>
          <w:szCs w:val="22"/>
        </w:rPr>
        <w:t xml:space="preserve">La herramienta aplica los algoritmos de detección de fenómenos corruptivos desarrollados por el Ph.D. Vicente Humberto Monteverde (Journal of Financial Crime, Vol. 28 No. 2, 2020), identificando de forma automática patrones de fragmentación, captura de organismos, ráfagas de adjudicación y concentración del gasto.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EDE9FE" w:val="clear"/>
            <w:tcMar>
              <w:top w:type="dxa" w:w="120"/>
              <w:left w:type="dxa" w:w="180"/>
              <w:bottom w:type="dxa" w:w="120"/>
              <w:right w:type="dxa" w:w="180"/>
            </w:tcMar>
          </w:tcPr>
          <w:p>
            <w:pPr>
              <w:spacing w:after="60" w:before="0"/>
            </w:pPr>
            <w:r>
              <w:rPr>
                <w:rFonts w:ascii="Arial" w:cs="Arial" w:eastAsia="Arial" w:hAnsi="Arial"/>
                <w:b/>
                <w:bCs/>
                <w:color w:val="D97706"/>
                <w:sz w:val="22"/>
                <w:szCs w:val="22"/>
              </w:rPr>
              <w:t xml:space="preserve">⚠️ Importante</w:t>
            </w:r>
          </w:p>
          <w:p>
            <w:pPr>
              <w:spacing w:after="0" w:before="0"/>
            </w:pPr>
            <w:r>
              <w:rPr>
                <w:rFonts w:ascii="Arial" w:cs="Arial" w:eastAsia="Arial" w:hAnsi="Arial"/>
                <w:color w:val="1F1F1F"/>
                <w:sz w:val="20"/>
                <w:szCs w:val="20"/>
              </w:rPr>
              <w:t xml:space="preserve">Este sistema muestra quién COBRÓ (TGN), no solo quién ganó la licitación. Esa distinción es clave: un proveedor puede ganar una licitación y no aparecer nunca en TGN, lo que puede indicar datos incompletos, cobro diferido o empresa pantalla.</w:t>
            </w:r>
          </w:p>
        </w:tc>
      </w:tr>
    </w:tbl>
    <w:p>
      <w:pPr>
        <w:spacing w:after="80" w:before="80"/>
      </w:pPr>
      <w:r>
        <w:t xml:space="preserve"/>
      </w:r>
    </w:p>
    <w:p>
      <w:pPr>
        <w:pStyle w:val="Heading1"/>
        <w:spacing w:after="120" w:before="360"/>
      </w:pPr>
      <w:r>
        <w:rPr>
          <w:rFonts w:ascii="Arial" w:cs="Arial" w:eastAsia="Arial" w:hAnsi="Arial"/>
          <w:b/>
          <w:bCs/>
          <w:color w:val="1E1B4B"/>
          <w:sz w:val="36"/>
          <w:szCs w:val="36"/>
        </w:rPr>
        <w:t xml:space="preserve">2. Estructura de navegación</w:t>
      </w:r>
    </w:p>
    <w:p>
      <w:pPr>
        <w:spacing w:after="80" w:before="60"/>
      </w:pPr>
      <w:r>
        <w:rPr>
          <w:rFonts w:ascii="Arial" w:cs="Arial" w:eastAsia="Arial" w:hAnsi="Arial"/>
          <w:color w:val="1F1F1F"/>
          <w:sz w:val="22"/>
          <w:szCs w:val="22"/>
        </w:rPr>
        <w:t xml:space="preserve">El sistema se organiza en cuatro secciones principales accesibles desde el panel lateral izquierdo: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4B5FD" w:sz="1"/>
              <w:left w:val="single" w:color="C4B5FD" w:sz="1"/>
              <w:bottom w:val="single" w:color="C4B5FD" w:sz="1"/>
              <w:right w:val="single" w:color="C4B5FD"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Sección</w:t>
            </w:r>
          </w:p>
        </w:tc>
        <w:tc>
          <w:tcPr>
            <w:tcW w:type="dxa" w:w="3000"/>
            <w:tcBorders>
              <w:top w:val="single" w:color="C4B5FD" w:sz="1"/>
              <w:left w:val="single" w:color="C4B5FD" w:sz="1"/>
              <w:bottom w:val="single" w:color="C4B5FD" w:sz="1"/>
              <w:right w:val="single" w:color="C4B5FD"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Título</w:t>
            </w:r>
          </w:p>
        </w:tc>
        <w:tc>
          <w:tcPr>
            <w:tcW w:type="dxa" w:w="4560"/>
            <w:tcBorders>
              <w:top w:val="single" w:color="C4B5FD" w:sz="1"/>
              <w:left w:val="single" w:color="C4B5FD" w:sz="1"/>
              <w:bottom w:val="single" w:color="C4B5FD" w:sz="1"/>
              <w:right w:val="single" w:color="C4B5FD"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Descripción breve</w:t>
            </w:r>
          </w:p>
        </w:tc>
      </w:tr>
      <w:tr>
        <w:tc>
          <w:tcPr>
            <w:tcW w:type="dxa" w:w="18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3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r>
              <w:rPr>
                <w:rFonts w:ascii="Arial" w:cs="Arial" w:eastAsia="Arial" w:hAnsi="Arial"/>
                <w:b/>
                <w:bCs/>
                <w:color w:val="1E1B4B"/>
                <w:sz w:val="20"/>
                <w:szCs w:val="20"/>
              </w:rPr>
              <w:t xml:space="preserve">Contratos</w:t>
            </w:r>
          </w:p>
        </w:tc>
        <w:tc>
          <w:tcPr>
            <w:tcW w:type="dxa" w:w="4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Flujo diario BORA → Comprar → TGN con filtros y tabla de contratos</w:t>
            </w:r>
          </w:p>
        </w:tc>
      </w:tr>
      <w:tr>
        <w:tc>
          <w:tcPr>
            <w:tcW w:type="dxa" w:w="1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30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Organismos</w:t>
            </w:r>
          </w:p>
        </w:tc>
        <w:tc>
          <w:tcPr>
            <w:tcW w:type="dxa" w:w="456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color w:val="1F1F1F"/>
                <w:sz w:val="20"/>
                <w:szCs w:val="20"/>
              </w:rPr>
              <w:t xml:space="preserve">Perfil por organismo contratante: concentración, proveedores, evolución temporal</w:t>
            </w:r>
          </w:p>
        </w:tc>
      </w:tr>
      <w:tr>
        <w:tc>
          <w:tcPr>
            <w:tcW w:type="dxa" w:w="18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3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r>
              <w:rPr>
                <w:rFonts w:ascii="Arial" w:cs="Arial" w:eastAsia="Arial" w:hAnsi="Arial"/>
                <w:b/>
                <w:bCs/>
                <w:color w:val="1E1B4B"/>
                <w:sz w:val="20"/>
                <w:szCs w:val="20"/>
              </w:rPr>
              <w:t xml:space="preserve">Proveedores</w:t>
            </w:r>
          </w:p>
        </w:tc>
        <w:tc>
          <w:tcPr>
            <w:tcW w:type="dxa" w:w="4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Perfil por CUIT: quién cobró, ranking de riesgo, búsqueda individual</w:t>
            </w:r>
          </w:p>
        </w:tc>
      </w:tr>
      <w:tr>
        <w:tc>
          <w:tcPr>
            <w:tcW w:type="dxa" w:w="1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30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Monitor</w:t>
            </w:r>
          </w:p>
        </w:tc>
        <w:tc>
          <w:tcPr>
            <w:tcW w:type="dxa" w:w="456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color w:val="1F1F1F"/>
                <w:sz w:val="20"/>
                <w:szCs w:val="20"/>
              </w:rPr>
              <w:t xml:space="preserve">Análisis sistémico de fenómenos corruptivos: 5 algoritmos de detección</w:t>
            </w:r>
          </w:p>
        </w:tc>
      </w:tr>
    </w:tbl>
    <w:p>
      <w:pPr>
        <w:spacing w:after="80" w:before="80"/>
      </w:pPr>
      <w:r>
        <w:t xml:space="preserve"/>
      </w:r>
    </w:p>
    <w:p>
      <w:pPr>
        <w:spacing w:after="80" w:before="60"/>
      </w:pPr>
      <w:r>
        <w:rPr>
          <w:rFonts w:ascii="Arial" w:cs="Arial" w:eastAsia="Arial" w:hAnsi="Arial"/>
          <w:color w:val="1F1F1F"/>
          <w:sz w:val="22"/>
          <w:szCs w:val="22"/>
        </w:rPr>
        <w:t xml:space="preserve">El panel lateral también muestra el indicador diferencial del sistema, los datos bibliográficos de la investigación y el botón para apoyar el proyecto.</w:t>
      </w:r>
    </w:p>
    <w:p>
      <w:pPr>
        <w:spacing w:after="80" w:before="8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1E1B4B" w:val="clear"/>
            <w:tcMar>
              <w:top w:type="dxa" w:w="200"/>
              <w:left w:type="dxa" w:w="240"/>
              <w:bottom w:type="dxa" w:w="200"/>
              <w:right w:type="dxa" w:w="240"/>
            </w:tcMar>
          </w:tcPr>
          <w:p>
            <w:pPr>
              <w:spacing w:after="60" w:before="0"/>
            </w:pPr>
            <w:r>
              <w:rPr>
                <w:rFonts w:ascii="Arial" w:cs="Arial" w:eastAsia="Arial" w:hAnsi="Arial"/>
                <w:b/>
                <w:bCs/>
                <w:color w:val="FFFFFF"/>
                <w:sz w:val="32"/>
                <w:szCs w:val="32"/>
              </w:rPr>
              <w:t xml:space="preserve">📄  3. Sección: Contratos</w:t>
            </w:r>
          </w:p>
          <w:p>
            <w:pPr>
              <w:spacing w:after="0" w:before="0"/>
            </w:pPr>
            <w:r>
              <w:rPr>
                <w:rFonts w:ascii="Arial" w:cs="Arial" w:eastAsia="Arial" w:hAnsi="Arial"/>
                <w:color w:val="C4B5FD"/>
                <w:sz w:val="20"/>
                <w:szCs w:val="20"/>
              </w:rPr>
              <w:t xml:space="preserve">Flujo diario: BORA → Comprar.gob.ar → TGN</w:t>
            </w:r>
          </w:p>
        </w:tc>
      </w:tr>
    </w:tbl>
    <w:p>
      <w:pPr>
        <w:spacing w:after="80" w:before="80"/>
      </w:pPr>
      <w:r>
        <w:t xml:space="preserve"/>
      </w:r>
    </w:p>
    <w:p>
      <w:pPr>
        <w:spacing w:after="80" w:before="60"/>
      </w:pPr>
      <w:r>
        <w:rPr>
          <w:rFonts w:ascii="Arial" w:cs="Arial" w:eastAsia="Arial" w:hAnsi="Arial"/>
          <w:color w:val="1F1F1F"/>
          <w:sz w:val="22"/>
          <w:szCs w:val="22"/>
        </w:rPr>
        <w:t xml:space="preserve">Esta sección muestra el flujo completo de contratos públicos adjudicados, combinando información del Boletín Oficial con los datos de compras y la confirmación de cobro en Tesorería.</w:t>
      </w:r>
    </w:p>
    <w:p>
      <w:pPr>
        <w:spacing w:after="80" w:before="80"/>
      </w:pPr>
      <w:r>
        <w:t xml:space="preserve"/>
      </w:r>
    </w:p>
    <w:p>
      <w:pPr>
        <w:pStyle w:val="Heading2"/>
        <w:spacing w:after="100" w:before="280"/>
      </w:pPr>
      <w:r>
        <w:rPr>
          <w:rFonts w:ascii="Arial" w:cs="Arial" w:eastAsia="Arial" w:hAnsi="Arial"/>
          <w:b/>
          <w:bCs/>
          <w:color w:val="5B21B6"/>
          <w:sz w:val="28"/>
          <w:szCs w:val="28"/>
        </w:rPr>
        <w:t xml:space="preserve">3.1 Métricas principales</w:t>
      </w:r>
    </w:p>
    <w:p>
      <w:pPr>
        <w:spacing w:after="80" w:before="60"/>
      </w:pPr>
      <w:r>
        <w:rPr>
          <w:rFonts w:ascii="Arial" w:cs="Arial" w:eastAsia="Arial" w:hAnsi="Arial"/>
          <w:color w:val="1F1F1F"/>
          <w:sz w:val="22"/>
          <w:szCs w:val="22"/>
        </w:rPr>
        <w:t xml:space="preserve">En la parte superior se muestran cinco indicadores clave: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4B5FD" w:sz="1"/>
              <w:left w:val="single" w:color="C4B5FD" w:sz="1"/>
              <w:bottom w:val="single" w:color="C4B5FD" w:sz="1"/>
              <w:right w:val="single" w:color="C4B5FD" w:sz="1"/>
            </w:tcBorders>
            <w:shd w:fill="FFFFFF" w:val="clear"/>
            <w:tcMar>
              <w:top w:type="dxa" w:w="120"/>
              <w:left w:type="dxa" w:w="120"/>
              <w:bottom w:type="dxa" w:w="120"/>
              <w:right w:type="dxa" w:w="120"/>
            </w:tcMar>
          </w:tcPr>
          <w:p>
            <w:pPr>
              <w:spacing w:after="40" w:before="0"/>
              <w:jc w:val="center"/>
            </w:pPr>
            <w:r>
              <w:rPr>
                <w:rFonts w:ascii="Arial" w:cs="Arial" w:eastAsia="Arial" w:hAnsi="Arial"/>
                <w:b/>
                <w:bCs/>
                <w:color w:val="4C1D95"/>
                <w:sz w:val="18"/>
                <w:szCs w:val="18"/>
              </w:rPr>
              <w:t xml:space="preserve">TOTAL REGISTROS</w:t>
            </w:r>
          </w:p>
          <w:p>
            <w:pPr>
              <w:spacing w:after="0" w:before="0"/>
              <w:jc w:val="center"/>
            </w:pPr>
            <w:r>
              <w:rPr>
                <w:rFonts w:ascii="Arial" w:cs="Arial" w:eastAsia="Arial" w:hAnsi="Arial"/>
                <w:b/>
                <w:bCs/>
                <w:color w:val="1E1B4B"/>
                <w:sz w:val="28"/>
                <w:szCs w:val="28"/>
              </w:rPr>
              <w:t xml:space="preserve">Cantidad total de contratos cargados en el sistema</w:t>
            </w:r>
          </w:p>
        </w:tc>
        <w:tc>
          <w:tcPr>
            <w:tcW w:type="dxa" w:w="3120"/>
            <w:tcBorders>
              <w:top w:val="single" w:color="C4B5FD" w:sz="1"/>
              <w:left w:val="single" w:color="C4B5FD" w:sz="1"/>
              <w:bottom w:val="single" w:color="C4B5FD" w:sz="1"/>
              <w:right w:val="single" w:color="C4B5FD" w:sz="1"/>
            </w:tcBorders>
            <w:shd w:fill="FFFFFF" w:val="clear"/>
            <w:tcMar>
              <w:top w:type="dxa" w:w="120"/>
              <w:left w:type="dxa" w:w="120"/>
              <w:bottom w:type="dxa" w:w="120"/>
              <w:right w:type="dxa" w:w="120"/>
            </w:tcMar>
          </w:tcPr>
          <w:p>
            <w:pPr>
              <w:spacing w:after="40" w:before="0"/>
              <w:jc w:val="center"/>
            </w:pPr>
            <w:r>
              <w:rPr>
                <w:rFonts w:ascii="Arial" w:cs="Arial" w:eastAsia="Arial" w:hAnsi="Arial"/>
                <w:b/>
                <w:bCs/>
                <w:color w:val="4C1D95"/>
                <w:sz w:val="18"/>
                <w:szCs w:val="18"/>
              </w:rPr>
              <w:t xml:space="preserve">FLUJOS BORA→TGN</w:t>
            </w:r>
          </w:p>
          <w:p>
            <w:pPr>
              <w:spacing w:after="0" w:before="0"/>
              <w:jc w:val="center"/>
            </w:pPr>
            <w:r>
              <w:rPr>
                <w:rFonts w:ascii="Arial" w:cs="Arial" w:eastAsia="Arial" w:hAnsi="Arial"/>
                <w:b/>
                <w:bCs/>
                <w:color w:val="059669"/>
                <w:sz w:val="28"/>
                <w:szCs w:val="28"/>
              </w:rPr>
              <w:t xml:space="preserve">Contratos con trazabilidad completa (aparecen en los 3 sistemas)</w:t>
            </w:r>
          </w:p>
        </w:tc>
        <w:tc>
          <w:tcPr>
            <w:tcW w:type="dxa" w:w="3120"/>
            <w:tcBorders>
              <w:top w:val="single" w:color="C4B5FD" w:sz="1"/>
              <w:left w:val="single" w:color="C4B5FD" w:sz="1"/>
              <w:bottom w:val="single" w:color="C4B5FD" w:sz="1"/>
              <w:right w:val="single" w:color="C4B5FD" w:sz="1"/>
            </w:tcBorders>
            <w:shd w:fill="FFFFFF" w:val="clear"/>
            <w:tcMar>
              <w:top w:type="dxa" w:w="120"/>
              <w:left w:type="dxa" w:w="120"/>
              <w:bottom w:type="dxa" w:w="120"/>
              <w:right w:type="dxa" w:w="120"/>
            </w:tcMar>
          </w:tcPr>
          <w:p>
            <w:pPr>
              <w:spacing w:after="40" w:before="0"/>
              <w:jc w:val="center"/>
            </w:pPr>
            <w:r>
              <w:rPr>
                <w:rFonts w:ascii="Arial" w:cs="Arial" w:eastAsia="Arial" w:hAnsi="Arial"/>
                <w:b/>
                <w:bCs/>
                <w:color w:val="4C1D95"/>
                <w:sz w:val="18"/>
                <w:szCs w:val="18"/>
              </w:rPr>
              <w:t xml:space="preserve">MONTO ADJUDICADO</w:t>
            </w:r>
          </w:p>
          <w:p>
            <w:pPr>
              <w:spacing w:after="0" w:before="0"/>
              <w:jc w:val="center"/>
            </w:pPr>
            <w:r>
              <w:rPr>
                <w:rFonts w:ascii="Arial" w:cs="Arial" w:eastAsia="Arial" w:hAnsi="Arial"/>
                <w:b/>
                <w:bCs/>
                <w:color w:val="5B21B6"/>
                <w:sz w:val="28"/>
                <w:szCs w:val="28"/>
              </w:rPr>
              <w:t xml:space="preserve">Suma de montos adjudicados en ARS (millones)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B5FD" w:sz="1"/>
              <w:left w:val="single" w:color="C4B5FD" w:sz="1"/>
              <w:bottom w:val="single" w:color="C4B5FD" w:sz="1"/>
              <w:right w:val="single" w:color="C4B5FD" w:sz="1"/>
            </w:tcBorders>
            <w:shd w:fill="FFFFFF" w:val="clear"/>
            <w:tcMar>
              <w:top w:type="dxa" w:w="120"/>
              <w:left w:type="dxa" w:w="120"/>
              <w:bottom w:type="dxa" w:w="120"/>
              <w:right w:type="dxa" w:w="120"/>
            </w:tcMar>
          </w:tcPr>
          <w:p>
            <w:pPr>
              <w:spacing w:after="40" w:before="0"/>
              <w:jc w:val="center"/>
            </w:pPr>
            <w:r>
              <w:rPr>
                <w:rFonts w:ascii="Arial" w:cs="Arial" w:eastAsia="Arial" w:hAnsi="Arial"/>
                <w:b/>
                <w:bCs/>
                <w:color w:val="4C1D95"/>
                <w:sz w:val="18"/>
                <w:szCs w:val="18"/>
              </w:rPr>
              <w:t xml:space="preserve">COBRADO EN TGN</w:t>
            </w:r>
          </w:p>
          <w:p>
            <w:pPr>
              <w:spacing w:after="0" w:before="0"/>
              <w:jc w:val="center"/>
            </w:pPr>
            <w:r>
              <w:rPr>
                <w:rFonts w:ascii="Arial" w:cs="Arial" w:eastAsia="Arial" w:hAnsi="Arial"/>
                <w:b/>
                <w:bCs/>
                <w:color w:val="059669"/>
                <w:sz w:val="28"/>
                <w:szCs w:val="28"/>
              </w:rPr>
              <w:t xml:space="preserve">Total efectivamente cobrado + % sobre lo adjudicado</w:t>
            </w:r>
          </w:p>
        </w:tc>
        <w:tc>
          <w:tcPr>
            <w:tcW w:type="dxa" w:w="4680"/>
            <w:tcBorders>
              <w:top w:val="single" w:color="C4B5FD" w:sz="1"/>
              <w:left w:val="single" w:color="C4B5FD" w:sz="1"/>
              <w:bottom w:val="single" w:color="C4B5FD" w:sz="1"/>
              <w:right w:val="single" w:color="C4B5FD" w:sz="1"/>
            </w:tcBorders>
            <w:shd w:fill="FFFFFF" w:val="clear"/>
            <w:tcMar>
              <w:top w:type="dxa" w:w="120"/>
              <w:left w:type="dxa" w:w="120"/>
              <w:bottom w:type="dxa" w:w="120"/>
              <w:right w:type="dxa" w:w="120"/>
            </w:tcMar>
          </w:tcPr>
          <w:p>
            <w:pPr>
              <w:spacing w:after="40" w:before="0"/>
              <w:jc w:val="center"/>
            </w:pPr>
            <w:r>
              <w:rPr>
                <w:rFonts w:ascii="Arial" w:cs="Arial" w:eastAsia="Arial" w:hAnsi="Arial"/>
                <w:b/>
                <w:bCs/>
                <w:color w:val="4C1D95"/>
                <w:sz w:val="18"/>
                <w:szCs w:val="18"/>
              </w:rPr>
              <w:t xml:space="preserve">🔴 RIESGO ALTO</w:t>
            </w:r>
          </w:p>
          <w:p>
            <w:pPr>
              <w:spacing w:after="0" w:before="0"/>
              <w:jc w:val="center"/>
            </w:pPr>
            <w:r>
              <w:rPr>
                <w:rFonts w:ascii="Arial" w:cs="Arial" w:eastAsia="Arial" w:hAnsi="Arial"/>
                <w:b/>
                <w:bCs/>
                <w:color w:val="DC2626"/>
                <w:sz w:val="28"/>
                <w:szCs w:val="28"/>
              </w:rPr>
              <w:t xml:space="preserve">Cantidad de contratos clasificados con nivel de riesgo Alto</w:t>
            </w:r>
          </w:p>
        </w:tc>
      </w:tr>
    </w:tbl>
    <w:p>
      <w:pPr>
        <w:spacing w:after="80" w:before="80"/>
      </w:pPr>
      <w:r>
        <w:t xml:space="preserve"/>
      </w:r>
    </w:p>
    <w:p>
      <w:pPr>
        <w:pStyle w:val="Heading2"/>
        <w:spacing w:after="100" w:before="280"/>
      </w:pPr>
      <w:r>
        <w:rPr>
          <w:rFonts w:ascii="Arial" w:cs="Arial" w:eastAsia="Arial" w:hAnsi="Arial"/>
          <w:b/>
          <w:bCs/>
          <w:color w:val="5B21B6"/>
          <w:sz w:val="28"/>
          <w:szCs w:val="28"/>
        </w:rPr>
        <w:t xml:space="preserve">3.2 Filtros disponibles</w:t>
      </w:r>
    </w:p>
    <w:p>
      <w:pPr>
        <w:spacing w:after="80" w:before="60"/>
      </w:pPr>
      <w:r>
        <w:rPr>
          <w:rFonts w:ascii="Arial" w:cs="Arial" w:eastAsia="Arial" w:hAnsi="Arial"/>
          <w:color w:val="1F1F1F"/>
          <w:sz w:val="22"/>
          <w:szCs w:val="22"/>
        </w:rPr>
        <w:t xml:space="preserve">Debajo de las métricas se pueden aplicar tres filtros combinables:</w:t>
      </w:r>
    </w:p>
    <w:p>
      <w:pPr>
        <w:spacing w:after="80" w:before="80"/>
      </w:pPr>
      <w:r>
        <w:t xml:space="preserve"/>
      </w:r>
    </w:p>
    <w:p>
      <w:pPr>
        <w:pStyle w:val="ListParagraph"/>
        <w:numPr>
          <w:ilvl w:val="0"/>
          <w:numId w:val="2"/>
        </w:numPr>
        <w:spacing w:after="40" w:before="40"/>
      </w:pPr>
      <w:r>
        <w:rPr>
          <w:rFonts w:ascii="Arial" w:cs="Arial" w:eastAsia="Arial" w:hAnsi="Arial"/>
          <w:b/>
          <w:bCs/>
          <w:color w:val="1E1B4B"/>
          <w:sz w:val="22"/>
          <w:szCs w:val="22"/>
        </w:rPr>
        <w:t xml:space="preserve">Período: </w:t>
      </w:r>
      <w:r>
        <w:rPr>
          <w:rFonts w:ascii="Arial" w:cs="Arial" w:eastAsia="Arial" w:hAnsi="Arial"/>
          <w:color w:val="1F1F1F"/>
          <w:sz w:val="22"/>
          <w:szCs w:val="22"/>
        </w:rPr>
        <w:t xml:space="preserve">Rango de fechas (desde — hasta). Se actualiza dinámicamente según los datos disponibles.</w:t>
      </w:r>
    </w:p>
    <w:p>
      <w:pPr>
        <w:pStyle w:val="ListParagraph"/>
        <w:numPr>
          <w:ilvl w:val="0"/>
          <w:numId w:val="2"/>
        </w:numPr>
        <w:spacing w:after="40" w:before="40"/>
      </w:pPr>
      <w:r>
        <w:rPr>
          <w:rFonts w:ascii="Arial" w:cs="Arial" w:eastAsia="Arial" w:hAnsi="Arial"/>
          <w:b/>
          <w:bCs/>
          <w:color w:val="1E1B4B"/>
          <w:sz w:val="22"/>
          <w:szCs w:val="22"/>
        </w:rPr>
        <w:t xml:space="preserve">Nivel de riesgo: </w:t>
      </w:r>
      <w:r>
        <w:rPr>
          <w:rFonts w:ascii="Arial" w:cs="Arial" w:eastAsia="Arial" w:hAnsi="Arial"/>
          <w:color w:val="1F1F1F"/>
          <w:sz w:val="22"/>
          <w:szCs w:val="22"/>
        </w:rPr>
        <w:t xml:space="preserve">Filtra por clasificación: Bajo / Medio / Alto (según el score algorítmico Monteverde).</w:t>
      </w:r>
    </w:p>
    <w:p>
      <w:pPr>
        <w:pStyle w:val="ListParagraph"/>
        <w:numPr>
          <w:ilvl w:val="0"/>
          <w:numId w:val="2"/>
        </w:numPr>
        <w:spacing w:after="40" w:before="40"/>
      </w:pPr>
      <w:r>
        <w:rPr>
          <w:rFonts w:ascii="Arial" w:cs="Arial" w:eastAsia="Arial" w:hAnsi="Arial"/>
          <w:b/>
          <w:bCs/>
          <w:color w:val="1E1B4B"/>
          <w:sz w:val="22"/>
          <w:szCs w:val="22"/>
        </w:rPr>
        <w:t xml:space="preserve">Organismo: </w:t>
      </w:r>
      <w:r>
        <w:rPr>
          <w:rFonts w:ascii="Arial" w:cs="Arial" w:eastAsia="Arial" w:hAnsi="Arial"/>
          <w:color w:val="1F1F1F"/>
          <w:sz w:val="22"/>
          <w:szCs w:val="22"/>
        </w:rPr>
        <w:t xml:space="preserve">Filtra por organismo contratante. El listado se genera automáticamente con los organismos presentes en los datos.</w:t>
      </w:r>
    </w:p>
    <w:p>
      <w:pPr>
        <w:spacing w:after="80" w:before="80"/>
      </w:pPr>
      <w:r>
        <w:t xml:space="preserve"/>
      </w:r>
    </w:p>
    <w:p>
      <w:pPr>
        <w:pStyle w:val="Heading2"/>
        <w:spacing w:after="100" w:before="280"/>
      </w:pPr>
      <w:r>
        <w:rPr>
          <w:rFonts w:ascii="Arial" w:cs="Arial" w:eastAsia="Arial" w:hAnsi="Arial"/>
          <w:b/>
          <w:bCs/>
          <w:color w:val="5B21B6"/>
          <w:sz w:val="28"/>
          <w:szCs w:val="28"/>
        </w:rPr>
        <w:t xml:space="preserve">3.3 Gráfico: Distribución por tipo de flujo</w:t>
      </w:r>
    </w:p>
    <w:p>
      <w:pPr>
        <w:spacing w:after="80" w:before="60"/>
      </w:pPr>
      <w:r>
        <w:rPr>
          <w:rFonts w:ascii="Arial" w:cs="Arial" w:eastAsia="Arial" w:hAnsi="Arial"/>
          <w:color w:val="1F1F1F"/>
          <w:sz w:val="22"/>
          <w:szCs w:val="22"/>
        </w:rPr>
        <w:t xml:space="preserve">Gráfico de barras horizontales que muestra cuántos contratos hay en cada categoría de alerta. Las categorías posibles son:</w:t>
      </w:r>
    </w:p>
    <w:p>
      <w:pPr>
        <w:spacing w:after="80" w:before="80"/>
      </w:pPr>
      <w:r>
        <w:t xml:space="preserve"/>
      </w:r>
    </w:p>
    <w:p>
      <w:pPr>
        <w:pStyle w:val="ListParagraph"/>
        <w:numPr>
          <w:ilvl w:val="0"/>
          <w:numId w:val="2"/>
        </w:numPr>
        <w:spacing w:after="40" w:before="40"/>
      </w:pPr>
      <w:r>
        <w:rPr>
          <w:rFonts w:ascii="Arial" w:cs="Arial" w:eastAsia="Arial" w:hAnsi="Arial"/>
          <w:b/>
          <w:bCs/>
          <w:color w:val="1E1B4B"/>
          <w:sz w:val="22"/>
          <w:szCs w:val="22"/>
        </w:rPr>
        <w:t xml:space="preserve">FLUJO COMPLETO: </w:t>
      </w:r>
      <w:r>
        <w:rPr>
          <w:rFonts w:ascii="Arial" w:cs="Arial" w:eastAsia="Arial" w:hAnsi="Arial"/>
          <w:color w:val="1F1F1F"/>
          <w:sz w:val="22"/>
          <w:szCs w:val="22"/>
        </w:rPr>
        <w:t xml:space="preserve">El contrato aparece en BORA, en Comprar.gob.ar Y en TGN — trazabilidad total.</w:t>
      </w:r>
    </w:p>
    <w:p>
      <w:pPr>
        <w:pStyle w:val="ListParagraph"/>
        <w:numPr>
          <w:ilvl w:val="0"/>
          <w:numId w:val="2"/>
        </w:numPr>
        <w:spacing w:after="40" w:before="40"/>
      </w:pPr>
      <w:r>
        <w:rPr>
          <w:rFonts w:ascii="Arial" w:cs="Arial" w:eastAsia="Arial" w:hAnsi="Arial"/>
          <w:b/>
          <w:bCs/>
          <w:color w:val="1E1B4B"/>
          <w:sz w:val="22"/>
          <w:szCs w:val="22"/>
        </w:rPr>
        <w:t xml:space="preserve">SOLO BORA: </w:t>
      </w:r>
      <w:r>
        <w:rPr>
          <w:rFonts w:ascii="Arial" w:cs="Arial" w:eastAsia="Arial" w:hAnsi="Arial"/>
          <w:color w:val="1F1F1F"/>
          <w:sz w:val="22"/>
          <w:szCs w:val="22"/>
        </w:rPr>
        <w:t xml:space="preserve">El contrato fue publicado en el Boletín Oficial pero no se encontró en Comprar ni en TGN.</w:t>
      </w:r>
    </w:p>
    <w:p>
      <w:pPr>
        <w:pStyle w:val="ListParagraph"/>
        <w:numPr>
          <w:ilvl w:val="0"/>
          <w:numId w:val="2"/>
        </w:numPr>
        <w:spacing w:after="40" w:before="40"/>
      </w:pPr>
      <w:r>
        <w:rPr>
          <w:rFonts w:ascii="Arial" w:cs="Arial" w:eastAsia="Arial" w:hAnsi="Arial"/>
          <w:b/>
          <w:bCs/>
          <w:color w:val="1E1B4B"/>
          <w:sz w:val="22"/>
          <w:szCs w:val="22"/>
        </w:rPr>
        <w:t xml:space="preserve">BORA + COMPRAR: </w:t>
      </w:r>
      <w:r>
        <w:rPr>
          <w:rFonts w:ascii="Arial" w:cs="Arial" w:eastAsia="Arial" w:hAnsi="Arial"/>
          <w:color w:val="1F1F1F"/>
          <w:sz w:val="22"/>
          <w:szCs w:val="22"/>
        </w:rPr>
        <w:t xml:space="preserve">Se cruzó BORA con Comprar pero sin confirmación de cobro en TGN.</w:t>
      </w:r>
    </w:p>
    <w:p>
      <w:pPr>
        <w:spacing w:after="80" w:before="60"/>
      </w:pPr>
      <w:r>
        <w:rPr>
          <w:rFonts w:ascii="Arial" w:cs="Arial" w:eastAsia="Arial" w:hAnsi="Arial"/>
          <w:color w:val="1F1F1F"/>
          <w:sz w:val="22"/>
          <w:szCs w:val="22"/>
        </w:rPr>
        <w:t xml:space="preserve">A mayor cantidad de FLUJO COMPLETO, mejor es la transparencia del período analizado.</w:t>
      </w:r>
    </w:p>
    <w:p>
      <w:pPr>
        <w:spacing w:after="80" w:before="80"/>
      </w:pPr>
      <w:r>
        <w:t xml:space="preserve"/>
      </w:r>
    </w:p>
    <w:p>
      <w:pPr>
        <w:pStyle w:val="Heading2"/>
        <w:spacing w:after="100" w:before="280"/>
      </w:pPr>
      <w:r>
        <w:rPr>
          <w:rFonts w:ascii="Arial" w:cs="Arial" w:eastAsia="Arial" w:hAnsi="Arial"/>
          <w:b/>
          <w:bCs/>
          <w:color w:val="5B21B6"/>
          <w:sz w:val="28"/>
          <w:szCs w:val="28"/>
        </w:rPr>
        <w:t xml:space="preserve">3.4 Gráfico: Evolución mensual de adjudicaciones</w:t>
      </w:r>
    </w:p>
    <w:p>
      <w:pPr>
        <w:spacing w:after="80" w:before="60"/>
      </w:pPr>
      <w:r>
        <w:rPr>
          <w:rFonts w:ascii="Arial" w:cs="Arial" w:eastAsia="Arial" w:hAnsi="Arial"/>
          <w:color w:val="1F1F1F"/>
          <w:sz w:val="22"/>
          <w:szCs w:val="22"/>
        </w:rPr>
        <w:t xml:space="preserve">Gráfico de barras verticales agrupadas por mes. Permite visualizar si existe concentración temporal de adjudicaciones (ráfagas mensuales), que puede ser un indicador de manipulación presupuestaria al cierre de ejercicio.</w:t>
      </w:r>
    </w:p>
    <w:p>
      <w:pPr>
        <w:spacing w:after="80" w:before="80"/>
      </w:pPr>
      <w:r>
        <w:t xml:space="preserve"/>
      </w:r>
    </w:p>
    <w:p>
      <w:pPr>
        <w:pStyle w:val="Heading2"/>
        <w:spacing w:after="100" w:before="280"/>
      </w:pPr>
      <w:r>
        <w:rPr>
          <w:rFonts w:ascii="Arial" w:cs="Arial" w:eastAsia="Arial" w:hAnsi="Arial"/>
          <w:b/>
          <w:bCs/>
          <w:color w:val="5B21B6"/>
          <w:sz w:val="28"/>
          <w:szCs w:val="28"/>
        </w:rPr>
        <w:t xml:space="preserve">3.5 Tabla de contratos</w:t>
      </w:r>
    </w:p>
    <w:p>
      <w:pPr>
        <w:spacing w:after="80" w:before="60"/>
      </w:pPr>
      <w:r>
        <w:rPr>
          <w:rFonts w:ascii="Arial" w:cs="Arial" w:eastAsia="Arial" w:hAnsi="Arial"/>
          <w:color w:val="1F1F1F"/>
          <w:sz w:val="22"/>
          <w:szCs w:val="22"/>
        </w:rPr>
        <w:t xml:space="preserve">Tabla detallada con los contratos que cumplen los filtros aplicados (máximo 500 registros por vista). Las columnas disponibles 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B5FD" w:sz="1"/>
              <w:left w:val="single" w:color="C4B5FD" w:sz="1"/>
              <w:bottom w:val="single" w:color="C4B5FD" w:sz="1"/>
              <w:right w:val="single" w:color="C4B5FD"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6360"/>
            <w:tcBorders>
              <w:top w:val="single" w:color="C4B5FD" w:sz="1"/>
              <w:left w:val="single" w:color="C4B5FD" w:sz="1"/>
              <w:bottom w:val="single" w:color="C4B5FD" w:sz="1"/>
              <w:right w:val="single" w:color="C4B5FD"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000"/>
            <w:tcBorders>
              <w:top w:val="single" w:color="C4B5FD" w:sz="1"/>
              <w:left w:val="single" w:color="C4B5FD" w:sz="1"/>
              <w:bottom w:val="single" w:color="C4B5FD" w:sz="1"/>
              <w:right w:val="single" w:color="C4B5FD" w:sz="1"/>
            </w:tcBorders>
            <w:shd w:fill="FFFFFF" w:val="clear"/>
            <w:tcMar>
              <w:top w:type="dxa" w:w="60"/>
              <w:left w:type="dxa" w:w="120"/>
              <w:bottom w:type="dxa" w:w="60"/>
              <w:right w:type="dxa" w:w="120"/>
            </w:tcMar>
          </w:tcPr>
          <w:p>
            <w:r>
              <w:rPr>
                <w:rFonts w:ascii="Arial" w:cs="Arial" w:eastAsia="Arial" w:hAnsi="Arial"/>
                <w:b/>
                <w:bCs/>
                <w:color w:val="1E1B4B"/>
                <w:sz w:val="20"/>
                <w:szCs w:val="20"/>
              </w:rPr>
              <w:t xml:space="preserve">Fecha</w:t>
            </w:r>
          </w:p>
        </w:tc>
        <w:tc>
          <w:tcPr>
            <w:tcW w:type="dxa" w:w="6360"/>
            <w:tcBorders>
              <w:top w:val="single" w:color="C4B5FD" w:sz="1"/>
              <w:left w:val="single" w:color="C4B5FD" w:sz="1"/>
              <w:bottom w:val="single" w:color="C4B5FD" w:sz="1"/>
              <w:right w:val="single" w:color="C4B5F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Fecha de publicación en BORA</w:t>
            </w:r>
          </w:p>
        </w:tc>
      </w:tr>
      <w:tr>
        <w:tc>
          <w:tcPr>
            <w:tcW w:type="dxa" w:w="3000"/>
            <w:tcBorders>
              <w:top w:val="single" w:color="C4B5FD" w:sz="1"/>
              <w:left w:val="single" w:color="C4B5FD" w:sz="1"/>
              <w:bottom w:val="single" w:color="C4B5FD" w:sz="1"/>
              <w:right w:val="single" w:color="C4B5FD" w:sz="1"/>
            </w:tcBorders>
            <w:shd w:fill="F5F3FF" w:val="clear"/>
            <w:tcMar>
              <w:top w:type="dxa" w:w="60"/>
              <w:left w:type="dxa" w:w="120"/>
              <w:bottom w:type="dxa" w:w="60"/>
              <w:right w:type="dxa" w:w="120"/>
            </w:tcMar>
          </w:tcPr>
          <w:p>
            <w:r>
              <w:rPr>
                <w:rFonts w:ascii="Arial" w:cs="Arial" w:eastAsia="Arial" w:hAnsi="Arial"/>
                <w:b/>
                <w:bCs/>
                <w:color w:val="1E1B4B"/>
                <w:sz w:val="20"/>
                <w:szCs w:val="20"/>
              </w:rPr>
              <w:t xml:space="preserve">Organismo contratante</w:t>
            </w:r>
          </w:p>
        </w:tc>
        <w:tc>
          <w:tcPr>
            <w:tcW w:type="dxa" w:w="6360"/>
            <w:tcBorders>
              <w:top w:val="single" w:color="C4B5FD" w:sz="1"/>
              <w:left w:val="single" w:color="C4B5FD" w:sz="1"/>
              <w:bottom w:val="single" w:color="C4B5FD" w:sz="1"/>
              <w:right w:val="single" w:color="C4B5FD" w:sz="1"/>
            </w:tcBorders>
            <w:shd w:fill="F5F3FF" w:val="clear"/>
            <w:tcMar>
              <w:top w:type="dxa" w:w="60"/>
              <w:left w:type="dxa" w:w="120"/>
              <w:bottom w:type="dxa" w:w="60"/>
              <w:right w:type="dxa" w:w="120"/>
            </w:tcMar>
          </w:tcPr>
          <w:p>
            <w:r>
              <w:rPr>
                <w:rFonts w:ascii="Arial" w:cs="Arial" w:eastAsia="Arial" w:hAnsi="Arial"/>
                <w:color w:val="1F1F1F"/>
                <w:sz w:val="20"/>
                <w:szCs w:val="20"/>
              </w:rPr>
              <w:t xml:space="preserve">Nombre del organismo que realizó la compra</w:t>
            </w:r>
          </w:p>
        </w:tc>
      </w:tr>
      <w:tr>
        <w:tc>
          <w:tcPr>
            <w:tcW w:type="dxa" w:w="3000"/>
            <w:tcBorders>
              <w:top w:val="single" w:color="C4B5FD" w:sz="1"/>
              <w:left w:val="single" w:color="C4B5FD" w:sz="1"/>
              <w:bottom w:val="single" w:color="C4B5FD" w:sz="1"/>
              <w:right w:val="single" w:color="C4B5FD" w:sz="1"/>
            </w:tcBorders>
            <w:shd w:fill="FFFFFF" w:val="clear"/>
            <w:tcMar>
              <w:top w:type="dxa" w:w="60"/>
              <w:left w:type="dxa" w:w="120"/>
              <w:bottom w:type="dxa" w:w="60"/>
              <w:right w:type="dxa" w:w="120"/>
            </w:tcMar>
          </w:tcPr>
          <w:p>
            <w:r>
              <w:rPr>
                <w:rFonts w:ascii="Arial" w:cs="Arial" w:eastAsia="Arial" w:hAnsi="Arial"/>
                <w:b/>
                <w:bCs/>
                <w:color w:val="1E1B4B"/>
                <w:sz w:val="20"/>
                <w:szCs w:val="20"/>
              </w:rPr>
              <w:t xml:space="preserve">CUIT proveedor</w:t>
            </w:r>
          </w:p>
        </w:tc>
        <w:tc>
          <w:tcPr>
            <w:tcW w:type="dxa" w:w="6360"/>
            <w:tcBorders>
              <w:top w:val="single" w:color="C4B5FD" w:sz="1"/>
              <w:left w:val="single" w:color="C4B5FD" w:sz="1"/>
              <w:bottom w:val="single" w:color="C4B5FD" w:sz="1"/>
              <w:right w:val="single" w:color="C4B5F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Número de CUIT del proveedor adjudicado</w:t>
            </w:r>
          </w:p>
        </w:tc>
      </w:tr>
      <w:tr>
        <w:tc>
          <w:tcPr>
            <w:tcW w:type="dxa" w:w="3000"/>
            <w:tcBorders>
              <w:top w:val="single" w:color="C4B5FD" w:sz="1"/>
              <w:left w:val="single" w:color="C4B5FD" w:sz="1"/>
              <w:bottom w:val="single" w:color="C4B5FD" w:sz="1"/>
              <w:right w:val="single" w:color="C4B5FD" w:sz="1"/>
            </w:tcBorders>
            <w:shd w:fill="F5F3FF" w:val="clear"/>
            <w:tcMar>
              <w:top w:type="dxa" w:w="60"/>
              <w:left w:type="dxa" w:w="120"/>
              <w:bottom w:type="dxa" w:w="60"/>
              <w:right w:type="dxa" w:w="120"/>
            </w:tcMar>
          </w:tcPr>
          <w:p>
            <w:r>
              <w:rPr>
                <w:rFonts w:ascii="Arial" w:cs="Arial" w:eastAsia="Arial" w:hAnsi="Arial"/>
                <w:b/>
                <w:bCs/>
                <w:color w:val="1E1B4B"/>
                <w:sz w:val="20"/>
                <w:szCs w:val="20"/>
              </w:rPr>
              <w:t xml:space="preserve">Proveedor adjudicado</w:t>
            </w:r>
          </w:p>
        </w:tc>
        <w:tc>
          <w:tcPr>
            <w:tcW w:type="dxa" w:w="6360"/>
            <w:tcBorders>
              <w:top w:val="single" w:color="C4B5FD" w:sz="1"/>
              <w:left w:val="single" w:color="C4B5FD" w:sz="1"/>
              <w:bottom w:val="single" w:color="C4B5FD" w:sz="1"/>
              <w:right w:val="single" w:color="C4B5FD" w:sz="1"/>
            </w:tcBorders>
            <w:shd w:fill="F5F3FF" w:val="clear"/>
            <w:tcMar>
              <w:top w:type="dxa" w:w="60"/>
              <w:left w:type="dxa" w:w="120"/>
              <w:bottom w:type="dxa" w:w="60"/>
              <w:right w:type="dxa" w:w="120"/>
            </w:tcMar>
          </w:tcPr>
          <w:p>
            <w:r>
              <w:rPr>
                <w:rFonts w:ascii="Arial" w:cs="Arial" w:eastAsia="Arial" w:hAnsi="Arial"/>
                <w:color w:val="1F1F1F"/>
                <w:sz w:val="20"/>
                <w:szCs w:val="20"/>
              </w:rPr>
              <w:t xml:space="preserve">Razón social del proveedor</w:t>
            </w:r>
          </w:p>
        </w:tc>
      </w:tr>
      <w:tr>
        <w:tc>
          <w:tcPr>
            <w:tcW w:type="dxa" w:w="3000"/>
            <w:tcBorders>
              <w:top w:val="single" w:color="C4B5FD" w:sz="1"/>
              <w:left w:val="single" w:color="C4B5FD" w:sz="1"/>
              <w:bottom w:val="single" w:color="C4B5FD" w:sz="1"/>
              <w:right w:val="single" w:color="C4B5FD" w:sz="1"/>
            </w:tcBorders>
            <w:shd w:fill="FFFFFF" w:val="clear"/>
            <w:tcMar>
              <w:top w:type="dxa" w:w="60"/>
              <w:left w:type="dxa" w:w="120"/>
              <w:bottom w:type="dxa" w:w="60"/>
              <w:right w:type="dxa" w:w="120"/>
            </w:tcMar>
          </w:tcPr>
          <w:p>
            <w:r>
              <w:rPr>
                <w:rFonts w:ascii="Arial" w:cs="Arial" w:eastAsia="Arial" w:hAnsi="Arial"/>
                <w:b/>
                <w:bCs/>
                <w:color w:val="1E1B4B"/>
                <w:sz w:val="20"/>
                <w:szCs w:val="20"/>
              </w:rPr>
              <w:t xml:space="preserve">Monto adjudicado (BORA)</w:t>
            </w:r>
          </w:p>
        </w:tc>
        <w:tc>
          <w:tcPr>
            <w:tcW w:type="dxa" w:w="6360"/>
            <w:tcBorders>
              <w:top w:val="single" w:color="C4B5FD" w:sz="1"/>
              <w:left w:val="single" w:color="C4B5FD" w:sz="1"/>
              <w:bottom w:val="single" w:color="C4B5FD" w:sz="1"/>
              <w:right w:val="single" w:color="C4B5F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Monto declarado en la publicación oficial</w:t>
            </w:r>
          </w:p>
        </w:tc>
      </w:tr>
      <w:tr>
        <w:tc>
          <w:tcPr>
            <w:tcW w:type="dxa" w:w="3000"/>
            <w:tcBorders>
              <w:top w:val="single" w:color="C4B5FD" w:sz="1"/>
              <w:left w:val="single" w:color="C4B5FD" w:sz="1"/>
              <w:bottom w:val="single" w:color="C4B5FD" w:sz="1"/>
              <w:right w:val="single" w:color="C4B5FD" w:sz="1"/>
            </w:tcBorders>
            <w:shd w:fill="F5F3FF" w:val="clear"/>
            <w:tcMar>
              <w:top w:type="dxa" w:w="60"/>
              <w:left w:type="dxa" w:w="120"/>
              <w:bottom w:type="dxa" w:w="60"/>
              <w:right w:type="dxa" w:w="120"/>
            </w:tcMar>
          </w:tcPr>
          <w:p>
            <w:r>
              <w:rPr>
                <w:rFonts w:ascii="Arial" w:cs="Arial" w:eastAsia="Arial" w:hAnsi="Arial"/>
                <w:b/>
                <w:bCs/>
                <w:color w:val="1E1B4B"/>
                <w:sz w:val="20"/>
                <w:szCs w:val="20"/>
              </w:rPr>
              <w:t xml:space="preserve">Cobrado en TGN</w:t>
            </w:r>
          </w:p>
        </w:tc>
        <w:tc>
          <w:tcPr>
            <w:tcW w:type="dxa" w:w="6360"/>
            <w:tcBorders>
              <w:top w:val="single" w:color="C4B5FD" w:sz="1"/>
              <w:left w:val="single" w:color="C4B5FD" w:sz="1"/>
              <w:bottom w:val="single" w:color="C4B5FD" w:sz="1"/>
              <w:right w:val="single" w:color="C4B5FD" w:sz="1"/>
            </w:tcBorders>
            <w:shd w:fill="F5F3FF" w:val="clear"/>
            <w:tcMar>
              <w:top w:type="dxa" w:w="60"/>
              <w:left w:type="dxa" w:w="120"/>
              <w:bottom w:type="dxa" w:w="60"/>
              <w:right w:type="dxa" w:w="120"/>
            </w:tcMar>
          </w:tcPr>
          <w:p>
            <w:r>
              <w:rPr>
                <w:rFonts w:ascii="Arial" w:cs="Arial" w:eastAsia="Arial" w:hAnsi="Arial"/>
                <w:color w:val="1F1F1F"/>
                <w:sz w:val="20"/>
                <w:szCs w:val="20"/>
              </w:rPr>
              <w:t xml:space="preserve">✅ SÍ / ❌ NO — indica si existe registro de cobro en Tesorería</w:t>
            </w:r>
          </w:p>
        </w:tc>
      </w:tr>
      <w:tr>
        <w:tc>
          <w:tcPr>
            <w:tcW w:type="dxa" w:w="3000"/>
            <w:tcBorders>
              <w:top w:val="single" w:color="C4B5FD" w:sz="1"/>
              <w:left w:val="single" w:color="C4B5FD" w:sz="1"/>
              <w:bottom w:val="single" w:color="C4B5FD" w:sz="1"/>
              <w:right w:val="single" w:color="C4B5FD" w:sz="1"/>
            </w:tcBorders>
            <w:shd w:fill="FFFFFF" w:val="clear"/>
            <w:tcMar>
              <w:top w:type="dxa" w:w="60"/>
              <w:left w:type="dxa" w:w="120"/>
              <w:bottom w:type="dxa" w:w="60"/>
              <w:right w:type="dxa" w:w="120"/>
            </w:tcMar>
          </w:tcPr>
          <w:p>
            <w:r>
              <w:rPr>
                <w:rFonts w:ascii="Arial" w:cs="Arial" w:eastAsia="Arial" w:hAnsi="Arial"/>
                <w:b/>
                <w:bCs/>
                <w:color w:val="1E1B4B"/>
                <w:sz w:val="20"/>
                <w:szCs w:val="20"/>
              </w:rPr>
              <w:t xml:space="preserve">Monto cobrado TGN</w:t>
            </w:r>
          </w:p>
        </w:tc>
        <w:tc>
          <w:tcPr>
            <w:tcW w:type="dxa" w:w="6360"/>
            <w:tcBorders>
              <w:top w:val="single" w:color="C4B5FD" w:sz="1"/>
              <w:left w:val="single" w:color="C4B5FD" w:sz="1"/>
              <w:bottom w:val="single" w:color="C4B5FD" w:sz="1"/>
              <w:right w:val="single" w:color="C4B5F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Monto confirmado de cobro (puede diferir del adjudicado)</w:t>
            </w:r>
          </w:p>
        </w:tc>
      </w:tr>
      <w:tr>
        <w:tc>
          <w:tcPr>
            <w:tcW w:type="dxa" w:w="3000"/>
            <w:tcBorders>
              <w:top w:val="single" w:color="C4B5FD" w:sz="1"/>
              <w:left w:val="single" w:color="C4B5FD" w:sz="1"/>
              <w:bottom w:val="single" w:color="C4B5FD" w:sz="1"/>
              <w:right w:val="single" w:color="C4B5FD" w:sz="1"/>
            </w:tcBorders>
            <w:shd w:fill="F5F3FF" w:val="clear"/>
            <w:tcMar>
              <w:top w:type="dxa" w:w="60"/>
              <w:left w:type="dxa" w:w="120"/>
              <w:bottom w:type="dxa" w:w="60"/>
              <w:right w:type="dxa" w:w="120"/>
            </w:tcMar>
          </w:tcPr>
          <w:p>
            <w:r>
              <w:rPr>
                <w:rFonts w:ascii="Arial" w:cs="Arial" w:eastAsia="Arial" w:hAnsi="Arial"/>
                <w:b/>
                <w:bCs/>
                <w:color w:val="1E1B4B"/>
                <w:sz w:val="20"/>
                <w:szCs w:val="20"/>
              </w:rPr>
              <w:t xml:space="preserve">Nivel de riesgo</w:t>
            </w:r>
          </w:p>
        </w:tc>
        <w:tc>
          <w:tcPr>
            <w:tcW w:type="dxa" w:w="6360"/>
            <w:tcBorders>
              <w:top w:val="single" w:color="C4B5FD" w:sz="1"/>
              <w:left w:val="single" w:color="C4B5FD" w:sz="1"/>
              <w:bottom w:val="single" w:color="C4B5FD" w:sz="1"/>
              <w:right w:val="single" w:color="C4B5FD" w:sz="1"/>
            </w:tcBorders>
            <w:shd w:fill="F5F3FF" w:val="clear"/>
            <w:tcMar>
              <w:top w:type="dxa" w:w="60"/>
              <w:left w:type="dxa" w:w="120"/>
              <w:bottom w:type="dxa" w:w="60"/>
              <w:right w:type="dxa" w:w="120"/>
            </w:tcMar>
          </w:tcPr>
          <w:p>
            <w:r>
              <w:rPr>
                <w:rFonts w:ascii="Arial" w:cs="Arial" w:eastAsia="Arial" w:hAnsi="Arial"/>
                <w:color w:val="1F1F1F"/>
                <w:sz w:val="20"/>
                <w:szCs w:val="20"/>
              </w:rPr>
              <w:t xml:space="preserve">Bajo / Medio / Alto — clasificación algorítmica</w:t>
            </w:r>
          </w:p>
        </w:tc>
      </w:tr>
      <w:tr>
        <w:tc>
          <w:tcPr>
            <w:tcW w:type="dxa" w:w="3000"/>
            <w:tcBorders>
              <w:top w:val="single" w:color="C4B5FD" w:sz="1"/>
              <w:left w:val="single" w:color="C4B5FD" w:sz="1"/>
              <w:bottom w:val="single" w:color="C4B5FD" w:sz="1"/>
              <w:right w:val="single" w:color="C4B5FD" w:sz="1"/>
            </w:tcBorders>
            <w:shd w:fill="FFFFFF" w:val="clear"/>
            <w:tcMar>
              <w:top w:type="dxa" w:w="60"/>
              <w:left w:type="dxa" w:w="120"/>
              <w:bottom w:type="dxa" w:w="60"/>
              <w:right w:type="dxa" w:w="120"/>
            </w:tcMar>
          </w:tcPr>
          <w:p>
            <w:r>
              <w:rPr>
                <w:rFonts w:ascii="Arial" w:cs="Arial" w:eastAsia="Arial" w:hAnsi="Arial"/>
                <w:b/>
                <w:bCs/>
                <w:color w:val="1E1B4B"/>
                <w:sz w:val="20"/>
                <w:szCs w:val="20"/>
              </w:rPr>
              <w:t xml:space="preserve">Indicadores de riesgo</w:t>
            </w:r>
          </w:p>
        </w:tc>
        <w:tc>
          <w:tcPr>
            <w:tcW w:type="dxa" w:w="6360"/>
            <w:tcBorders>
              <w:top w:val="single" w:color="C4B5FD" w:sz="1"/>
              <w:left w:val="single" w:color="C4B5FD" w:sz="1"/>
              <w:bottom w:val="single" w:color="C4B5FD" w:sz="1"/>
              <w:right w:val="single" w:color="C4B5F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Detalle de alertas detectadas (separadas por |)</w:t>
            </w:r>
          </w:p>
        </w:tc>
      </w:tr>
      <w:tr>
        <w:tc>
          <w:tcPr>
            <w:tcW w:type="dxa" w:w="3000"/>
            <w:tcBorders>
              <w:top w:val="single" w:color="C4B5FD" w:sz="1"/>
              <w:left w:val="single" w:color="C4B5FD" w:sz="1"/>
              <w:bottom w:val="single" w:color="C4B5FD" w:sz="1"/>
              <w:right w:val="single" w:color="C4B5FD" w:sz="1"/>
            </w:tcBorders>
            <w:shd w:fill="F5F3FF" w:val="clear"/>
            <w:tcMar>
              <w:top w:type="dxa" w:w="60"/>
              <w:left w:type="dxa" w:w="120"/>
              <w:bottom w:type="dxa" w:w="60"/>
              <w:right w:type="dxa" w:w="120"/>
            </w:tcMar>
          </w:tcPr>
          <w:p>
            <w:r>
              <w:rPr>
                <w:rFonts w:ascii="Arial" w:cs="Arial" w:eastAsia="Arial" w:hAnsi="Arial"/>
                <w:b/>
                <w:bCs/>
                <w:color w:val="1E1B4B"/>
                <w:sz w:val="20"/>
                <w:szCs w:val="20"/>
              </w:rPr>
              <w:t xml:space="preserve">Alerta</w:t>
            </w:r>
          </w:p>
        </w:tc>
        <w:tc>
          <w:tcPr>
            <w:tcW w:type="dxa" w:w="6360"/>
            <w:tcBorders>
              <w:top w:val="single" w:color="C4B5FD" w:sz="1"/>
              <w:left w:val="single" w:color="C4B5FD" w:sz="1"/>
              <w:bottom w:val="single" w:color="C4B5FD" w:sz="1"/>
              <w:right w:val="single" w:color="C4B5FD" w:sz="1"/>
            </w:tcBorders>
            <w:shd w:fill="F5F3FF" w:val="clear"/>
            <w:tcMar>
              <w:top w:type="dxa" w:w="60"/>
              <w:left w:type="dxa" w:w="120"/>
              <w:bottom w:type="dxa" w:w="60"/>
              <w:right w:type="dxa" w:w="120"/>
            </w:tcMar>
          </w:tcPr>
          <w:p>
            <w:r>
              <w:rPr>
                <w:rFonts w:ascii="Arial" w:cs="Arial" w:eastAsia="Arial" w:hAnsi="Arial"/>
                <w:color w:val="1F1F1F"/>
                <w:sz w:val="20"/>
                <w:szCs w:val="20"/>
              </w:rPr>
              <w:t xml:space="preserve">Tipo de flujo: FLUJO COMPLETO / SOLO BORA / etc.</w:t>
            </w:r>
          </w:p>
        </w:tc>
      </w:tr>
      <w:tr>
        <w:tc>
          <w:tcPr>
            <w:tcW w:type="dxa" w:w="3000"/>
            <w:tcBorders>
              <w:top w:val="single" w:color="C4B5FD" w:sz="1"/>
              <w:left w:val="single" w:color="C4B5FD" w:sz="1"/>
              <w:bottom w:val="single" w:color="C4B5FD" w:sz="1"/>
              <w:right w:val="single" w:color="C4B5FD" w:sz="1"/>
            </w:tcBorders>
            <w:shd w:fill="FFFFFF" w:val="clear"/>
            <w:tcMar>
              <w:top w:type="dxa" w:w="60"/>
              <w:left w:type="dxa" w:w="120"/>
              <w:bottom w:type="dxa" w:w="60"/>
              <w:right w:type="dxa" w:w="120"/>
            </w:tcMar>
          </w:tcPr>
          <w:p>
            <w:r>
              <w:rPr>
                <w:rFonts w:ascii="Arial" w:cs="Arial" w:eastAsia="Arial" w:hAnsi="Arial"/>
                <w:b/>
                <w:bCs/>
                <w:color w:val="1E1B4B"/>
                <w:sz w:val="20"/>
                <w:szCs w:val="20"/>
              </w:rPr>
              <w:t xml:space="preserve">Link BORA</w:t>
            </w:r>
          </w:p>
        </w:tc>
        <w:tc>
          <w:tcPr>
            <w:tcW w:type="dxa" w:w="6360"/>
            <w:tcBorders>
              <w:top w:val="single" w:color="C4B5FD" w:sz="1"/>
              <w:left w:val="single" w:color="C4B5FD" w:sz="1"/>
              <w:bottom w:val="single" w:color="C4B5FD" w:sz="1"/>
              <w:right w:val="single" w:color="C4B5F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Enlace directo a la publicación original en el Boletín Oficial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EDE9FE" w:val="clear"/>
            <w:tcMar>
              <w:top w:type="dxa" w:w="120"/>
              <w:left w:type="dxa" w:w="180"/>
              <w:bottom w:type="dxa" w:w="120"/>
              <w:right w:type="dxa" w:w="180"/>
            </w:tcMar>
          </w:tcPr>
          <w:p>
            <w:pPr>
              <w:spacing w:after="60" w:before="0"/>
            </w:pPr>
            <w:r>
              <w:rPr>
                <w:rFonts w:ascii="Arial" w:cs="Arial" w:eastAsia="Arial" w:hAnsi="Arial"/>
                <w:b/>
                <w:bCs/>
                <w:color w:val="7C3AED"/>
                <w:sz w:val="22"/>
                <w:szCs w:val="22"/>
              </w:rPr>
              <w:t xml:space="preserve">💡 Tip</w:t>
            </w:r>
          </w:p>
          <w:p>
            <w:pPr>
              <w:spacing w:after="0" w:before="0"/>
            </w:pPr>
            <w:r>
              <w:rPr>
                <w:rFonts w:ascii="Arial" w:cs="Arial" w:eastAsia="Arial" w:hAnsi="Arial"/>
                <w:color w:val="1F1F1F"/>
                <w:sz w:val="20"/>
                <w:szCs w:val="20"/>
              </w:rPr>
              <w:t xml:space="preserve">Hacé clic en cualquier Link BORA para abrir la publicación oficial en el Boletín Oficial. Los links se abren en el navegador directamente.</w:t>
            </w:r>
          </w:p>
        </w:tc>
      </w:tr>
    </w:tbl>
    <w:p>
      <w:pPr>
        <w:spacing w:after="80" w:before="8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1E1B4B" w:val="clear"/>
            <w:tcMar>
              <w:top w:type="dxa" w:w="200"/>
              <w:left w:type="dxa" w:w="240"/>
              <w:bottom w:type="dxa" w:w="200"/>
              <w:right w:type="dxa" w:w="240"/>
            </w:tcMar>
          </w:tcPr>
          <w:p>
            <w:pPr>
              <w:spacing w:after="60" w:before="0"/>
            </w:pPr>
            <w:r>
              <w:rPr>
                <w:rFonts w:ascii="Arial" w:cs="Arial" w:eastAsia="Arial" w:hAnsi="Arial"/>
                <w:b/>
                <w:bCs/>
                <w:color w:val="FFFFFF"/>
                <w:sz w:val="32"/>
                <w:szCs w:val="32"/>
              </w:rPr>
              <w:t xml:space="preserve">🏛️  4. Sección: Organismos</w:t>
            </w:r>
          </w:p>
          <w:p>
            <w:pPr>
              <w:spacing w:after="0" w:before="0"/>
            </w:pPr>
            <w:r>
              <w:rPr>
                <w:rFonts w:ascii="Arial" w:cs="Arial" w:eastAsia="Arial" w:hAnsi="Arial"/>
                <w:color w:val="C4B5FD"/>
                <w:sz w:val="20"/>
                <w:szCs w:val="20"/>
              </w:rPr>
              <w:t xml:space="preserve">Perfil por organismo contratante — concentración, proveedores, evolución</w:t>
            </w:r>
          </w:p>
        </w:tc>
      </w:tr>
    </w:tbl>
    <w:p>
      <w:pPr>
        <w:spacing w:after="80" w:before="80"/>
      </w:pPr>
      <w:r>
        <w:t xml:space="preserve"/>
      </w:r>
    </w:p>
    <w:p>
      <w:pPr>
        <w:spacing w:after="80" w:before="60"/>
      </w:pPr>
      <w:r>
        <w:rPr>
          <w:rFonts w:ascii="Arial" w:cs="Arial" w:eastAsia="Arial" w:hAnsi="Arial"/>
          <w:color w:val="1F1F1F"/>
          <w:sz w:val="22"/>
          <w:szCs w:val="22"/>
        </w:rPr>
        <w:t xml:space="preserve">Esta sección permite analizar el comportamiento de cada organismo público como comprador: a quiénes les adjudicó, cuánto gastó, qué tan concentrado está ese gasto y si presenta red flags históricas.</w:t>
      </w:r>
    </w:p>
    <w:p>
      <w:pPr>
        <w:spacing w:after="80" w:before="80"/>
      </w:pPr>
      <w:r>
        <w:t xml:space="preserve"/>
      </w:r>
    </w:p>
    <w:p>
      <w:pPr>
        <w:pStyle w:val="Heading2"/>
        <w:spacing w:after="100" w:before="280"/>
      </w:pPr>
      <w:r>
        <w:rPr>
          <w:rFonts w:ascii="Arial" w:cs="Arial" w:eastAsia="Arial" w:hAnsi="Arial"/>
          <w:b/>
          <w:bCs/>
          <w:color w:val="5B21B6"/>
          <w:sz w:val="28"/>
          <w:szCs w:val="28"/>
        </w:rPr>
        <w:t xml:space="preserve">4.1 Gráfico: Top 15 organismos por monto adjudicado</w:t>
      </w:r>
    </w:p>
    <w:p>
      <w:pPr>
        <w:spacing w:after="80" w:before="60"/>
      </w:pPr>
      <w:r>
        <w:rPr>
          <w:rFonts w:ascii="Arial" w:cs="Arial" w:eastAsia="Arial" w:hAnsi="Arial"/>
          <w:color w:val="1F1F1F"/>
          <w:sz w:val="22"/>
          <w:szCs w:val="22"/>
        </w:rPr>
        <w:t xml:space="preserve">Gráfico de barras horizontales. Muestra los 15 organismos con mayor monto total adjudicado en el período. La intensidad del color indica el monto relativo. Permite identificar rápidamente qué organismos concentran el mayor volumen de gasto.</w:t>
      </w:r>
    </w:p>
    <w:p>
      <w:pPr>
        <w:spacing w:after="80" w:before="80"/>
      </w:pPr>
      <w:r>
        <w:t xml:space="preserve"/>
      </w:r>
    </w:p>
    <w:p>
      <w:pPr>
        <w:pStyle w:val="Heading2"/>
        <w:spacing w:after="100" w:before="280"/>
      </w:pPr>
      <w:r>
        <w:rPr>
          <w:rFonts w:ascii="Arial" w:cs="Arial" w:eastAsia="Arial" w:hAnsi="Arial"/>
          <w:b/>
          <w:bCs/>
          <w:color w:val="5B21B6"/>
          <w:sz w:val="28"/>
          <w:szCs w:val="28"/>
        </w:rPr>
        <w:t xml:space="preserve">4.2 Gráfico: Top 15 por cantidad de adjudicaciones</w:t>
      </w:r>
    </w:p>
    <w:p>
      <w:pPr>
        <w:spacing w:after="80" w:before="60"/>
      </w:pPr>
      <w:r>
        <w:rPr>
          <w:rFonts w:ascii="Arial" w:cs="Arial" w:eastAsia="Arial" w:hAnsi="Arial"/>
          <w:color w:val="1F1F1F"/>
          <w:sz w:val="22"/>
          <w:szCs w:val="22"/>
        </w:rPr>
        <w:t xml:space="preserve">Gráfico de barras horizontales. A diferencia del anterior, ordena por cantidad de contratos en lugar de monto. Un organismo puede tener muchas adjudicaciones de bajo monto (señal de posible fragmentación) o pocas de alto monto.</w:t>
      </w:r>
    </w:p>
    <w:p>
      <w:pPr>
        <w:spacing w:after="80" w:before="80"/>
      </w:pPr>
      <w:r>
        <w:t xml:space="preserve"/>
      </w:r>
    </w:p>
    <w:p>
      <w:pPr>
        <w:pStyle w:val="Heading2"/>
        <w:spacing w:after="100" w:before="280"/>
      </w:pPr>
      <w:r>
        <w:rPr>
          <w:rFonts w:ascii="Arial" w:cs="Arial" w:eastAsia="Arial" w:hAnsi="Arial"/>
          <w:b/>
          <w:bCs/>
          <w:color w:val="5B21B6"/>
          <w:sz w:val="28"/>
          <w:szCs w:val="28"/>
        </w:rPr>
        <w:t xml:space="preserve">4.3 Perfil individual de organismo</w:t>
      </w:r>
    </w:p>
    <w:p>
      <w:pPr>
        <w:spacing w:after="80" w:before="60"/>
      </w:pPr>
      <w:r>
        <w:rPr>
          <w:rFonts w:ascii="Arial" w:cs="Arial" w:eastAsia="Arial" w:hAnsi="Arial"/>
          <w:color w:val="1F1F1F"/>
          <w:sz w:val="22"/>
          <w:szCs w:val="22"/>
        </w:rPr>
        <w:t xml:space="preserve">Al seleccionar un organismo del menú desplegable se abre su perfil completo con:</w:t>
      </w:r>
    </w:p>
    <w:p>
      <w:pPr>
        <w:spacing w:after="80" w:before="80"/>
      </w:pPr>
      <w:r>
        <w:t xml:space="preserve"/>
      </w:r>
    </w:p>
    <w:p>
      <w:pPr>
        <w:pStyle w:val="Heading3"/>
        <w:spacing w:after="80" w:before="200"/>
      </w:pPr>
      <w:r>
        <w:rPr>
          <w:rFonts w:ascii="Arial" w:cs="Arial" w:eastAsia="Arial" w:hAnsi="Arial"/>
          <w:b/>
          <w:bCs/>
          <w:color w:val="7C3AED"/>
          <w:sz w:val="24"/>
          <w:szCs w:val="24"/>
        </w:rPr>
        <w:t xml:space="preserve">Métricas del organismo</w:t>
      </w:r>
    </w:p>
    <w:p>
      <w:pPr>
        <w:pStyle w:val="ListParagraph"/>
        <w:numPr>
          <w:ilvl w:val="0"/>
          <w:numId w:val="2"/>
        </w:numPr>
        <w:spacing w:after="40" w:before="40"/>
      </w:pPr>
      <w:r>
        <w:rPr>
          <w:rFonts w:ascii="Arial" w:cs="Arial" w:eastAsia="Arial" w:hAnsi="Arial"/>
          <w:b/>
          <w:bCs/>
          <w:color w:val="1E1B4B"/>
          <w:sz w:val="22"/>
          <w:szCs w:val="22"/>
        </w:rPr>
        <w:t xml:space="preserve">Adjudicaciones: </w:t>
      </w:r>
      <w:r>
        <w:rPr>
          <w:rFonts w:ascii="Arial" w:cs="Arial" w:eastAsia="Arial" w:hAnsi="Arial"/>
          <w:color w:val="1F1F1F"/>
          <w:sz w:val="22"/>
          <w:szCs w:val="22"/>
        </w:rPr>
        <w:t xml:space="preserve">Total de contratos del organismo en el período</w:t>
      </w:r>
    </w:p>
    <w:p>
      <w:pPr>
        <w:pStyle w:val="ListParagraph"/>
        <w:numPr>
          <w:ilvl w:val="0"/>
          <w:numId w:val="2"/>
        </w:numPr>
        <w:spacing w:after="40" w:before="40"/>
      </w:pPr>
      <w:r>
        <w:rPr>
          <w:rFonts w:ascii="Arial" w:cs="Arial" w:eastAsia="Arial" w:hAnsi="Arial"/>
          <w:b/>
          <w:bCs/>
          <w:color w:val="1E1B4B"/>
          <w:sz w:val="22"/>
          <w:szCs w:val="22"/>
        </w:rPr>
        <w:t xml:space="preserve">Monto total: </w:t>
      </w:r>
      <w:r>
        <w:rPr>
          <w:rFonts w:ascii="Arial" w:cs="Arial" w:eastAsia="Arial" w:hAnsi="Arial"/>
          <w:color w:val="1F1F1F"/>
          <w:sz w:val="22"/>
          <w:szCs w:val="22"/>
        </w:rPr>
        <w:t xml:space="preserve">Suma en millones de ARS de todos sus contratos</w:t>
      </w:r>
    </w:p>
    <w:p>
      <w:pPr>
        <w:pStyle w:val="ListParagraph"/>
        <w:numPr>
          <w:ilvl w:val="0"/>
          <w:numId w:val="2"/>
        </w:numPr>
        <w:spacing w:after="40" w:before="40"/>
      </w:pPr>
      <w:r>
        <w:rPr>
          <w:rFonts w:ascii="Arial" w:cs="Arial" w:eastAsia="Arial" w:hAnsi="Arial"/>
          <w:b/>
          <w:bCs/>
          <w:color w:val="1E1B4B"/>
          <w:sz w:val="22"/>
          <w:szCs w:val="22"/>
        </w:rPr>
        <w:t xml:space="preserve">Proveedores (CUITs): </w:t>
      </w:r>
      <w:r>
        <w:rPr>
          <w:rFonts w:ascii="Arial" w:cs="Arial" w:eastAsia="Arial" w:hAnsi="Arial"/>
          <w:color w:val="1F1F1F"/>
          <w:sz w:val="22"/>
          <w:szCs w:val="22"/>
        </w:rPr>
        <w:t xml:space="preserve">Cantidad de CUITs distintos que recibieron adjudicaciones</w:t>
      </w:r>
    </w:p>
    <w:p>
      <w:pPr>
        <w:pStyle w:val="ListParagraph"/>
        <w:numPr>
          <w:ilvl w:val="0"/>
          <w:numId w:val="2"/>
        </w:numPr>
        <w:spacing w:after="40" w:before="40"/>
      </w:pPr>
      <w:r>
        <w:rPr>
          <w:rFonts w:ascii="Arial" w:cs="Arial" w:eastAsia="Arial" w:hAnsi="Arial"/>
          <w:b/>
          <w:bCs/>
          <w:color w:val="1E1B4B"/>
          <w:sz w:val="22"/>
          <w:szCs w:val="22"/>
        </w:rPr>
        <w:t xml:space="preserve">Cobraron en TGN: </w:t>
      </w:r>
      <w:r>
        <w:rPr>
          <w:rFonts w:ascii="Arial" w:cs="Arial" w:eastAsia="Arial" w:hAnsi="Arial"/>
          <w:color w:val="1F1F1F"/>
          <w:sz w:val="22"/>
          <w:szCs w:val="22"/>
        </w:rPr>
        <w:t xml:space="preserve">Cuántos contratos tienen confirmación de cobro</w:t>
      </w:r>
    </w:p>
    <w:p>
      <w:pPr>
        <w:spacing w:after="80" w:before="80"/>
      </w:pPr>
      <w:r>
        <w:t xml:space="preserve"/>
      </w:r>
    </w:p>
    <w:p>
      <w:pPr>
        <w:pStyle w:val="Heading3"/>
        <w:spacing w:after="80" w:before="200"/>
      </w:pPr>
      <w:r>
        <w:rPr>
          <w:rFonts w:ascii="Arial" w:cs="Arial" w:eastAsia="Arial" w:hAnsi="Arial"/>
          <w:b/>
          <w:bCs/>
          <w:color w:val="7C3AED"/>
          <w:sz w:val="24"/>
          <w:szCs w:val="24"/>
        </w:rPr>
        <w:t xml:space="preserve">Índice HHI de concentración</w:t>
      </w:r>
    </w:p>
    <w:p>
      <w:pPr>
        <w:spacing w:after="80" w:before="60"/>
      </w:pPr>
      <w:r>
        <w:rPr>
          <w:rFonts w:ascii="Arial" w:cs="Arial" w:eastAsia="Arial" w:hAnsi="Arial"/>
          <w:color w:val="1F1F1F"/>
          <w:sz w:val="22"/>
          <w:szCs w:val="22"/>
        </w:rPr>
        <w:t xml:space="preserve">El índice de Herfindahl-Hirschman (HHI) mide qué tan concentrado está el gasto del organismo en pocos proveedores. Se calcula como la suma de los cuadrados de las participaciones de mercado de cada proveedor: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4B5FD" w:sz="1"/>
              <w:left w:val="single" w:color="C4B5FD" w:sz="1"/>
              <w:bottom w:val="single" w:color="C4B5FD" w:sz="1"/>
              <w:right w:val="single" w:color="C4B5FD"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Rango HHI</w:t>
            </w:r>
          </w:p>
        </w:tc>
        <w:tc>
          <w:tcPr>
            <w:tcW w:type="dxa" w:w="2800"/>
            <w:tcBorders>
              <w:top w:val="single" w:color="C4B5FD" w:sz="1"/>
              <w:left w:val="single" w:color="C4B5FD" w:sz="1"/>
              <w:bottom w:val="single" w:color="C4B5FD" w:sz="1"/>
              <w:right w:val="single" w:color="C4B5FD"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Clasificación</w:t>
            </w:r>
          </w:p>
        </w:tc>
        <w:tc>
          <w:tcPr>
            <w:tcW w:type="dxa" w:w="4560"/>
            <w:tcBorders>
              <w:top w:val="single" w:color="C4B5FD" w:sz="1"/>
              <w:left w:val="single" w:color="C4B5FD" w:sz="1"/>
              <w:bottom w:val="single" w:color="C4B5FD" w:sz="1"/>
              <w:right w:val="single" w:color="C4B5FD"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Interpretación</w:t>
            </w:r>
          </w:p>
        </w:tc>
      </w:tr>
      <w:tr>
        <w:tc>
          <w:tcPr>
            <w:tcW w:type="dxa" w:w="2000"/>
            <w:tcBorders>
              <w:top w:val="single" w:color="C4B5FD" w:sz="1"/>
              <w:left w:val="single" w:color="C4B5FD" w:sz="1"/>
              <w:bottom w:val="single" w:color="C4B5FD" w:sz="1"/>
              <w:right w:val="single" w:color="C4B5FD" w:sz="1"/>
            </w:tcBorders>
            <w:shd w:fill="FFFFFF" w:val="clear"/>
            <w:tcMar>
              <w:top w:type="dxa" w:w="60"/>
              <w:left w:type="dxa" w:w="120"/>
              <w:bottom w:type="dxa" w:w="60"/>
              <w:right w:type="dxa" w:w="120"/>
            </w:tcMar>
          </w:tcPr>
          <w:p>
            <w:r>
              <w:rPr>
                <w:rFonts w:ascii="Arial" w:cs="Arial" w:eastAsia="Arial" w:hAnsi="Arial"/>
                <w:b/>
                <w:bCs/>
                <w:color w:val="1E1B4B"/>
                <w:sz w:val="20"/>
                <w:szCs w:val="20"/>
              </w:rPr>
              <w:t xml:space="preserve">HHI &gt; 2.500</w:t>
            </w:r>
          </w:p>
        </w:tc>
        <w:tc>
          <w:tcPr>
            <w:tcW w:type="dxa" w:w="2800"/>
            <w:tcBorders>
              <w:top w:val="single" w:color="C4B5FD" w:sz="1"/>
              <w:left w:val="single" w:color="C4B5FD" w:sz="1"/>
              <w:bottom w:val="single" w:color="C4B5FD" w:sz="1"/>
              <w:right w:val="single" w:color="C4B5F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 Alta concentración</w:t>
            </w:r>
          </w:p>
        </w:tc>
        <w:tc>
          <w:tcPr>
            <w:tcW w:type="dxa" w:w="4560"/>
            <w:tcBorders>
              <w:top w:val="single" w:color="C4B5FD" w:sz="1"/>
              <w:left w:val="single" w:color="C4B5FD" w:sz="1"/>
              <w:bottom w:val="single" w:color="C4B5FD" w:sz="1"/>
              <w:right w:val="single" w:color="C4B5F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Riesgo de captura del contratista — el organismo compra casi siempre al mismo proveedor</w:t>
            </w:r>
          </w:p>
        </w:tc>
      </w:tr>
      <w:tr>
        <w:tc>
          <w:tcPr>
            <w:tcW w:type="dxa" w:w="2000"/>
            <w:tcBorders>
              <w:top w:val="single" w:color="C4B5FD" w:sz="1"/>
              <w:left w:val="single" w:color="C4B5FD" w:sz="1"/>
              <w:bottom w:val="single" w:color="C4B5FD" w:sz="1"/>
              <w:right w:val="single" w:color="C4B5FD" w:sz="1"/>
            </w:tcBorders>
            <w:shd w:fill="F5F3FF" w:val="clear"/>
            <w:tcMar>
              <w:top w:type="dxa" w:w="60"/>
              <w:left w:type="dxa" w:w="120"/>
              <w:bottom w:type="dxa" w:w="60"/>
              <w:right w:type="dxa" w:w="120"/>
            </w:tcMar>
          </w:tcPr>
          <w:p>
            <w:r>
              <w:rPr>
                <w:rFonts w:ascii="Arial" w:cs="Arial" w:eastAsia="Arial" w:hAnsi="Arial"/>
                <w:b/>
                <w:bCs/>
                <w:color w:val="1E1B4B"/>
                <w:sz w:val="20"/>
                <w:szCs w:val="20"/>
              </w:rPr>
              <w:t xml:space="preserve">1.500 – 2.500</w:t>
            </w:r>
          </w:p>
        </w:tc>
        <w:tc>
          <w:tcPr>
            <w:tcW w:type="dxa" w:w="2800"/>
            <w:tcBorders>
              <w:top w:val="single" w:color="C4B5FD" w:sz="1"/>
              <w:left w:val="single" w:color="C4B5FD" w:sz="1"/>
              <w:bottom w:val="single" w:color="C4B5FD" w:sz="1"/>
              <w:right w:val="single" w:color="C4B5FD" w:sz="1"/>
            </w:tcBorders>
            <w:shd w:fill="F5F3FF" w:val="clear"/>
            <w:tcMar>
              <w:top w:type="dxa" w:w="60"/>
              <w:left w:type="dxa" w:w="120"/>
              <w:bottom w:type="dxa" w:w="60"/>
              <w:right w:type="dxa" w:w="120"/>
            </w:tcMar>
          </w:tcPr>
          <w:p>
            <w:r>
              <w:rPr>
                <w:rFonts w:ascii="Arial" w:cs="Arial" w:eastAsia="Arial" w:hAnsi="Arial"/>
                <w:color w:val="1F1F1F"/>
                <w:sz w:val="20"/>
                <w:szCs w:val="20"/>
              </w:rPr>
              <w:t xml:space="preserve">🟡 Concentración moderada</w:t>
            </w:r>
          </w:p>
        </w:tc>
        <w:tc>
          <w:tcPr>
            <w:tcW w:type="dxa" w:w="4560"/>
            <w:tcBorders>
              <w:top w:val="single" w:color="C4B5FD" w:sz="1"/>
              <w:left w:val="single" w:color="C4B5FD" w:sz="1"/>
              <w:bottom w:val="single" w:color="C4B5FD" w:sz="1"/>
              <w:right w:val="single" w:color="C4B5FD" w:sz="1"/>
            </w:tcBorders>
            <w:shd w:fill="F5F3FF" w:val="clear"/>
            <w:tcMar>
              <w:top w:type="dxa" w:w="60"/>
              <w:left w:type="dxa" w:w="120"/>
              <w:bottom w:type="dxa" w:w="60"/>
              <w:right w:type="dxa" w:w="120"/>
            </w:tcMar>
          </w:tcPr>
          <w:p>
            <w:r>
              <w:rPr>
                <w:rFonts w:ascii="Arial" w:cs="Arial" w:eastAsia="Arial" w:hAnsi="Arial"/>
                <w:color w:val="1F1F1F"/>
                <w:sz w:val="20"/>
                <w:szCs w:val="20"/>
              </w:rPr>
              <w:t xml:space="preserve">Hay cierta competencia pero existe un proveedor dominante</w:t>
            </w:r>
          </w:p>
        </w:tc>
      </w:tr>
      <w:tr>
        <w:tc>
          <w:tcPr>
            <w:tcW w:type="dxa" w:w="2000"/>
            <w:tcBorders>
              <w:top w:val="single" w:color="C4B5FD" w:sz="1"/>
              <w:left w:val="single" w:color="C4B5FD" w:sz="1"/>
              <w:bottom w:val="single" w:color="C4B5FD" w:sz="1"/>
              <w:right w:val="single" w:color="C4B5FD" w:sz="1"/>
            </w:tcBorders>
            <w:shd w:fill="FFFFFF" w:val="clear"/>
            <w:tcMar>
              <w:top w:type="dxa" w:w="60"/>
              <w:left w:type="dxa" w:w="120"/>
              <w:bottom w:type="dxa" w:w="60"/>
              <w:right w:type="dxa" w:w="120"/>
            </w:tcMar>
          </w:tcPr>
          <w:p>
            <w:r>
              <w:rPr>
                <w:rFonts w:ascii="Arial" w:cs="Arial" w:eastAsia="Arial" w:hAnsi="Arial"/>
                <w:b/>
                <w:bCs/>
                <w:color w:val="1E1B4B"/>
                <w:sz w:val="20"/>
                <w:szCs w:val="20"/>
              </w:rPr>
              <w:t xml:space="preserve">HHI &lt; 1.500</w:t>
            </w:r>
          </w:p>
        </w:tc>
        <w:tc>
          <w:tcPr>
            <w:tcW w:type="dxa" w:w="2800"/>
            <w:tcBorders>
              <w:top w:val="single" w:color="C4B5FD" w:sz="1"/>
              <w:left w:val="single" w:color="C4B5FD" w:sz="1"/>
              <w:bottom w:val="single" w:color="C4B5FD" w:sz="1"/>
              <w:right w:val="single" w:color="C4B5F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 Mercado competitivo</w:t>
            </w:r>
          </w:p>
        </w:tc>
        <w:tc>
          <w:tcPr>
            <w:tcW w:type="dxa" w:w="4560"/>
            <w:tcBorders>
              <w:top w:val="single" w:color="C4B5FD" w:sz="1"/>
              <w:left w:val="single" w:color="C4B5FD" w:sz="1"/>
              <w:bottom w:val="single" w:color="C4B5FD" w:sz="1"/>
              <w:right w:val="single" w:color="C4B5F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El gasto se distribuye entre múltiples proveedores — señal saludable</w:t>
            </w:r>
          </w:p>
        </w:tc>
      </w:tr>
    </w:tbl>
    <w:p>
      <w:pPr>
        <w:spacing w:after="80" w:before="80"/>
      </w:pPr>
      <w:r>
        <w:t xml:space="preserve"/>
      </w:r>
    </w:p>
    <w:p>
      <w:pPr>
        <w:pStyle w:val="Heading3"/>
        <w:spacing w:after="80" w:before="200"/>
      </w:pPr>
      <w:r>
        <w:rPr>
          <w:rFonts w:ascii="Arial" w:cs="Arial" w:eastAsia="Arial" w:hAnsi="Arial"/>
          <w:b/>
          <w:bCs/>
          <w:color w:val="7C3AED"/>
          <w:sz w:val="24"/>
          <w:szCs w:val="24"/>
        </w:rPr>
        <w:t xml:space="preserve">Gráfico: Distribución de monto por proveedor (top 10)</w:t>
      </w:r>
    </w:p>
    <w:p>
      <w:pPr>
        <w:spacing w:after="80" w:before="60"/>
      </w:pPr>
      <w:r>
        <w:rPr>
          <w:rFonts w:ascii="Arial" w:cs="Arial" w:eastAsia="Arial" w:hAnsi="Arial"/>
          <w:color w:val="1F1F1F"/>
          <w:sz w:val="22"/>
          <w:szCs w:val="22"/>
        </w:rPr>
        <w:t xml:space="preserve">Gráfico de torta/donut. Muestra cómo se distribuye el gasto del organismo entre sus principales 10 proveedores. Un sector muy dominante (más del 50%) refuerza la señal de captura identificada por el HHI.</w:t>
      </w:r>
    </w:p>
    <w:p>
      <w:pPr>
        <w:spacing w:after="80" w:before="80"/>
      </w:pPr>
      <w:r>
        <w:t xml:space="preserve"/>
      </w:r>
    </w:p>
    <w:p>
      <w:pPr>
        <w:pStyle w:val="Heading3"/>
        <w:spacing w:after="80" w:before="200"/>
      </w:pPr>
      <w:r>
        <w:rPr>
          <w:rFonts w:ascii="Arial" w:cs="Arial" w:eastAsia="Arial" w:hAnsi="Arial"/>
          <w:b/>
          <w:bCs/>
          <w:color w:val="7C3AED"/>
          <w:sz w:val="24"/>
          <w:szCs w:val="24"/>
        </w:rPr>
        <w:t xml:space="preserve">Gráfico: Evolución mensual del monto adjudicado</w:t>
      </w:r>
    </w:p>
    <w:p>
      <w:pPr>
        <w:spacing w:after="80" w:before="60"/>
      </w:pPr>
      <w:r>
        <w:rPr>
          <w:rFonts w:ascii="Arial" w:cs="Arial" w:eastAsia="Arial" w:hAnsi="Arial"/>
          <w:color w:val="1F1F1F"/>
          <w:sz w:val="22"/>
          <w:szCs w:val="22"/>
        </w:rPr>
        <w:t xml:space="preserve">Gráfico de línea con marcadores. Muestra la evolución mes a mes del monto adjudicado por el organismo. Picos abruptos en ciertos meses pueden indicar aceleración del gasto al cierre de ejercicio fiscal.</w:t>
      </w:r>
    </w:p>
    <w:p>
      <w:pPr>
        <w:spacing w:after="80" w:before="80"/>
      </w:pPr>
      <w:r>
        <w:t xml:space="preserve"/>
      </w:r>
    </w:p>
    <w:p>
      <w:pPr>
        <w:pStyle w:val="Heading3"/>
        <w:spacing w:after="80" w:before="200"/>
      </w:pPr>
      <w:r>
        <w:rPr>
          <w:rFonts w:ascii="Arial" w:cs="Arial" w:eastAsia="Arial" w:hAnsi="Arial"/>
          <w:b/>
          <w:bCs/>
          <w:color w:val="7C3AED"/>
          <w:sz w:val="24"/>
          <w:szCs w:val="24"/>
        </w:rPr>
        <w:t xml:space="preserve">Red flags históricas</w:t>
      </w:r>
    </w:p>
    <w:p>
      <w:pPr>
        <w:spacing w:after="80" w:before="60"/>
      </w:pPr>
      <w:r>
        <w:rPr>
          <w:rFonts w:ascii="Arial" w:cs="Arial" w:eastAsia="Arial" w:hAnsi="Arial"/>
          <w:color w:val="1F1F1F"/>
          <w:sz w:val="22"/>
          <w:szCs w:val="22"/>
        </w:rPr>
        <w:t xml:space="preserve">Tabla con todos los indicadores de riesgo detectados para ese organismo y su frecuencia de aparición. Los indicadores se generan automáticamente por el algoritmo Monteverde y pueden incluir:</w:t>
      </w:r>
    </w:p>
    <w:p>
      <w:pPr>
        <w:spacing w:after="80" w:before="80"/>
      </w:pPr>
      <w:r>
        <w:t xml:space="preserve"/>
      </w:r>
    </w:p>
    <w:p>
      <w:pPr>
        <w:pStyle w:val="ListParagraph"/>
        <w:numPr>
          <w:ilvl w:val="0"/>
          <w:numId w:val="2"/>
        </w:numPr>
        <w:spacing w:after="40" w:before="40"/>
      </w:pPr>
      <w:r>
        <w:rPr>
          <w:rFonts w:ascii="Arial" w:cs="Arial" w:eastAsia="Arial" w:hAnsi="Arial"/>
          <w:color w:val="1F1F1F"/>
          <w:sz w:val="22"/>
          <w:szCs w:val="22"/>
        </w:rPr>
        <w:t xml:space="preserve">Adjudicación mismo día de publicación</w:t>
      </w:r>
    </w:p>
    <w:p>
      <w:pPr>
        <w:pStyle w:val="ListParagraph"/>
        <w:numPr>
          <w:ilvl w:val="0"/>
          <w:numId w:val="2"/>
        </w:numPr>
        <w:spacing w:after="40" w:before="40"/>
      </w:pPr>
      <w:r>
        <w:rPr>
          <w:rFonts w:ascii="Arial" w:cs="Arial" w:eastAsia="Arial" w:hAnsi="Arial"/>
          <w:color w:val="1F1F1F"/>
          <w:sz w:val="22"/>
          <w:szCs w:val="22"/>
        </w:rPr>
        <w:t xml:space="preserve">Contratación Directa (proceso sin competencia)</w:t>
      </w:r>
    </w:p>
    <w:p>
      <w:pPr>
        <w:pStyle w:val="ListParagraph"/>
        <w:numPr>
          <w:ilvl w:val="0"/>
          <w:numId w:val="2"/>
        </w:numPr>
        <w:spacing w:after="40" w:before="40"/>
      </w:pPr>
      <w:r>
        <w:rPr>
          <w:rFonts w:ascii="Arial" w:cs="Arial" w:eastAsia="Arial" w:hAnsi="Arial"/>
          <w:color w:val="1F1F1F"/>
          <w:sz w:val="22"/>
          <w:szCs w:val="22"/>
        </w:rPr>
        <w:t xml:space="preserve">Monto cercano al umbral de licitación pública</w:t>
      </w:r>
    </w:p>
    <w:p>
      <w:pPr>
        <w:pStyle w:val="ListParagraph"/>
        <w:numPr>
          <w:ilvl w:val="0"/>
          <w:numId w:val="2"/>
        </w:numPr>
        <w:spacing w:after="40" w:before="40"/>
      </w:pPr>
      <w:r>
        <w:rPr>
          <w:rFonts w:ascii="Arial" w:cs="Arial" w:eastAsia="Arial" w:hAnsi="Arial"/>
          <w:color w:val="1F1F1F"/>
          <w:sz w:val="22"/>
          <w:szCs w:val="22"/>
        </w:rPr>
        <w:t xml:space="preserve">Proveedor único o dominante</w:t>
      </w:r>
    </w:p>
    <w:p>
      <w:pPr>
        <w:pStyle w:val="ListParagraph"/>
        <w:numPr>
          <w:ilvl w:val="0"/>
          <w:numId w:val="2"/>
        </w:numPr>
        <w:spacing w:after="40" w:before="40"/>
      </w:pPr>
      <w:r>
        <w:rPr>
          <w:rFonts w:ascii="Arial" w:cs="Arial" w:eastAsia="Arial" w:hAnsi="Arial"/>
          <w:color w:val="1F1F1F"/>
          <w:sz w:val="22"/>
          <w:szCs w:val="22"/>
        </w:rPr>
        <w:t xml:space="preserve">Ráfaga de adjudicaciones en ventana corta</w:t>
      </w:r>
    </w:p>
    <w:p>
      <w:pPr>
        <w:spacing w:after="80" w:before="8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1E1B4B" w:val="clear"/>
            <w:tcMar>
              <w:top w:type="dxa" w:w="200"/>
              <w:left w:type="dxa" w:w="240"/>
              <w:bottom w:type="dxa" w:w="200"/>
              <w:right w:type="dxa" w:w="240"/>
            </w:tcMar>
          </w:tcPr>
          <w:p>
            <w:pPr>
              <w:spacing w:after="60" w:before="0"/>
            </w:pPr>
            <w:r>
              <w:rPr>
                <w:rFonts w:ascii="Arial" w:cs="Arial" w:eastAsia="Arial" w:hAnsi="Arial"/>
                <w:b/>
                <w:bCs/>
                <w:color w:val="FFFFFF"/>
                <w:sz w:val="32"/>
                <w:szCs w:val="32"/>
              </w:rPr>
              <w:t xml:space="preserve">🏢  5. Sección: Proveedores</w:t>
            </w:r>
          </w:p>
          <w:p>
            <w:pPr>
              <w:spacing w:after="0" w:before="0"/>
            </w:pPr>
            <w:r>
              <w:rPr>
                <w:rFonts w:ascii="Arial" w:cs="Arial" w:eastAsia="Arial" w:hAnsi="Arial"/>
                <w:color w:val="C4B5FD"/>
                <w:sz w:val="20"/>
                <w:szCs w:val="20"/>
              </w:rPr>
              <w:t xml:space="preserve">Quién cobró del Estado — cruce BORA → Comprar → TGN</w:t>
            </w:r>
          </w:p>
        </w:tc>
      </w:tr>
    </w:tbl>
    <w:p>
      <w:pPr>
        <w:spacing w:after="80" w:before="80"/>
      </w:pPr>
      <w:r>
        <w:t xml:space="preserve"/>
      </w:r>
    </w:p>
    <w:p>
      <w:pPr>
        <w:spacing w:after="80" w:before="60"/>
      </w:pPr>
      <w:r>
        <w:rPr>
          <w:rFonts w:ascii="Arial" w:cs="Arial" w:eastAsia="Arial" w:hAnsi="Arial"/>
          <w:color w:val="1F1F1F"/>
          <w:sz w:val="22"/>
          <w:szCs w:val="22"/>
        </w:rPr>
        <w:t xml:space="preserve">Esta sección tiene tres solapas (tabs) que permiten analizar a los proveedores desde distintos ángulos.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20"/>
              <w:bottom w:type="dxa" w:w="160"/>
              <w:right w:type="dxa" w:w="220"/>
            </w:tcMar>
          </w:tcPr>
          <w:p>
            <w:pPr>
              <w:spacing w:after="80" w:before="0"/>
            </w:pPr>
            <w:r>
              <w:rPr>
                <w:rFonts w:ascii="Arial" w:cs="Arial" w:eastAsia="Arial" w:hAnsi="Arial"/>
                <w:b/>
                <w:bCs/>
                <w:color w:val="5B21B6"/>
                <w:sz w:val="24"/>
                <w:szCs w:val="24"/>
              </w:rPr>
              <w:t xml:space="preserve">Solapa 1: 🏆 Ranking por cobro TGN</w:t>
            </w:r>
          </w:p>
          <w:p>
            <w:pPr>
              <w:spacing w:after="100" w:before="0"/>
            </w:pPr>
            <w:r>
              <w:rPr>
                <w:rFonts w:ascii="Arial" w:cs="Arial" w:eastAsia="Arial" w:hAnsi="Arial"/>
                <w:i/>
                <w:iCs/>
                <w:color w:val="4B5563"/>
                <w:sz w:val="20"/>
                <w:szCs w:val="20"/>
              </w:rPr>
              <w:t xml:space="preserve">Muestra los proveedores que más cobraron efectivamente del Estado, según datos de Tesorería General de la Nación.</w:t>
            </w:r>
          </w:p>
          <w:p>
            <w:pPr>
              <w:spacing w:after="40" w:before="60"/>
            </w:pPr>
            <w:r>
              <w:rPr>
                <w:rFonts w:ascii="Arial" w:cs="Arial" w:eastAsia="Arial" w:hAnsi="Arial"/>
                <w:b/>
                <w:bCs/>
                <w:color w:val="1E1B4B"/>
                <w:sz w:val="20"/>
                <w:szCs w:val="20"/>
              </w:rPr>
              <w:t xml:space="preserve">Contenido:</w:t>
            </w:r>
          </w:p>
          <w:p>
            <w:pPr>
              <w:pStyle w:val="ListParagraph"/>
              <w:numPr>
                <w:ilvl w:val="0"/>
                <w:numId w:val="2"/>
              </w:numPr>
              <w:spacing w:after="40" w:before="40"/>
            </w:pPr>
            <w:r>
              <w:rPr>
                <w:rFonts w:ascii="Arial" w:cs="Arial" w:eastAsia="Arial" w:hAnsi="Arial"/>
                <w:color w:val="1F1F1F"/>
                <w:sz w:val="22"/>
                <w:szCs w:val="22"/>
              </w:rPr>
              <w:t xml:space="preserve">Gráfico de barras horizontales: Top 15 proveedores por monto cobrado en TGN (escala de verdes)</w:t>
            </w:r>
          </w:p>
          <w:p>
            <w:pPr>
              <w:pStyle w:val="ListParagraph"/>
              <w:numPr>
                <w:ilvl w:val="0"/>
                <w:numId w:val="2"/>
              </w:numPr>
              <w:spacing w:after="40" w:before="40"/>
            </w:pPr>
            <w:r>
              <w:rPr>
                <w:rFonts w:ascii="Arial" w:cs="Arial" w:eastAsia="Arial" w:hAnsi="Arial"/>
                <w:color w:val="1F1F1F"/>
                <w:sz w:val="22"/>
                <w:szCs w:val="22"/>
              </w:rPr>
              <w:t xml:space="preserve">Tabla con CUIT, monto TGN, monto adjudicado, cantidad de contratos y razón social</w:t>
            </w:r>
          </w:p>
          <w:p>
            <w:pPr>
              <w:spacing w:after="80" w:before="80"/>
            </w:pPr>
            <w:r>
              <w:t xml:space="preserve"/>
            </w:r>
          </w:p>
          <w:p>
            <w:pPr>
              <w:spacing w:after="40" w:before="40"/>
            </w:pPr>
            <w:r>
              <w:rPr>
                <w:rFonts w:ascii="Arial" w:cs="Arial" w:eastAsia="Arial" w:hAnsi="Arial"/>
                <w:i/>
                <w:iCs/>
                <w:color w:val="4B5563"/>
                <w:sz w:val="20"/>
                <w:szCs w:val="20"/>
              </w:rPr>
              <w:t xml:space="preserve">Interpretación: Un proveedor con alto cobro TGN tiene efectivo impacto presupuestario confirmado. La diferencia entre monto adjudicado y monto cobrado puede indicar contratos en ejecución, cancelados o con datos faltantes.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20"/>
              <w:bottom w:type="dxa" w:w="160"/>
              <w:right w:type="dxa" w:w="220"/>
            </w:tcMar>
          </w:tcPr>
          <w:p>
            <w:pPr>
              <w:spacing w:after="80" w:before="0"/>
            </w:pPr>
            <w:r>
              <w:rPr>
                <w:rFonts w:ascii="Arial" w:cs="Arial" w:eastAsia="Arial" w:hAnsi="Arial"/>
                <w:b/>
                <w:bCs/>
                <w:color w:val="5B21B6"/>
                <w:sz w:val="24"/>
                <w:szCs w:val="24"/>
              </w:rPr>
              <w:t xml:space="preserve">Solapa 2: 🔴 Ranking por riesgo</w:t>
            </w:r>
          </w:p>
          <w:p>
            <w:pPr>
              <w:spacing w:after="100" w:before="0"/>
            </w:pPr>
            <w:r>
              <w:rPr>
                <w:rFonts w:ascii="Arial" w:cs="Arial" w:eastAsia="Arial" w:hAnsi="Arial"/>
                <w:i/>
                <w:iCs/>
                <w:color w:val="4B5563"/>
                <w:sz w:val="20"/>
                <w:szCs w:val="20"/>
              </w:rPr>
              <w:t xml:space="preserve">Ordenamiento de proveedores según su score de riesgo promedio calculado con el algoritmo Monteverde.</w:t>
            </w:r>
          </w:p>
          <w:p>
            <w:pPr>
              <w:spacing w:after="40" w:before="60"/>
            </w:pPr>
            <w:r>
              <w:rPr>
                <w:rFonts w:ascii="Arial" w:cs="Arial" w:eastAsia="Arial" w:hAnsi="Arial"/>
                <w:b/>
                <w:bCs/>
                <w:color w:val="1E1B4B"/>
                <w:sz w:val="20"/>
                <w:szCs w:val="20"/>
              </w:rPr>
              <w:t xml:space="preserve">Contenido:</w:t>
            </w:r>
          </w:p>
          <w:p>
            <w:pPr>
              <w:pStyle w:val="ListParagraph"/>
              <w:numPr>
                <w:ilvl w:val="0"/>
                <w:numId w:val="2"/>
              </w:numPr>
              <w:spacing w:after="40" w:before="40"/>
            </w:pPr>
            <w:r>
              <w:rPr>
                <w:rFonts w:ascii="Arial" w:cs="Arial" w:eastAsia="Arial" w:hAnsi="Arial"/>
                <w:color w:val="1F1F1F"/>
                <w:sz w:val="22"/>
                <w:szCs w:val="22"/>
              </w:rPr>
              <w:t xml:space="preserve">Gráfico de barras horizontales: Top 15 proveedores por score de riesgo promedio (escala de rojos)</w:t>
            </w:r>
          </w:p>
          <w:p>
            <w:pPr>
              <w:pStyle w:val="ListParagraph"/>
              <w:numPr>
                <w:ilvl w:val="0"/>
                <w:numId w:val="2"/>
              </w:numPr>
              <w:spacing w:after="40" w:before="40"/>
            </w:pPr>
            <w:r>
              <w:rPr>
                <w:rFonts w:ascii="Arial" w:cs="Arial" w:eastAsia="Arial" w:hAnsi="Arial"/>
                <w:color w:val="1F1F1F"/>
                <w:sz w:val="22"/>
                <w:szCs w:val="22"/>
              </w:rPr>
              <w:t xml:space="preserve">Tabla con CUIT, score promedio, score máximo, cantidad de contratos y nivel (🔴 Alto / 🟡 Medio / 🟢 Bajo)</w:t>
            </w:r>
          </w:p>
          <w:p>
            <w:pPr>
              <w:spacing w:after="80" w:before="80"/>
            </w:pPr>
            <w:r>
              <w:t xml:space="preserve"/>
            </w:r>
          </w:p>
          <w:p>
            <w:pPr>
              <w:spacing w:after="40" w:before="40"/>
            </w:pPr>
            <w:r>
              <w:rPr>
                <w:rFonts w:ascii="Arial" w:cs="Arial" w:eastAsia="Arial" w:hAnsi="Arial"/>
                <w:b/>
                <w:bCs/>
                <w:color w:val="1E1B4B"/>
                <w:sz w:val="20"/>
                <w:szCs w:val="20"/>
              </w:rPr>
              <w:t xml:space="preserve">Rangos del score:</w:t>
            </w:r>
          </w:p>
          <w:p>
            <w:pPr>
              <w:pStyle w:val="ListParagraph"/>
              <w:numPr>
                <w:ilvl w:val="0"/>
                <w:numId w:val="2"/>
              </w:numPr>
              <w:spacing w:after="40" w:before="40"/>
            </w:pPr>
            <w:r>
              <w:rPr>
                <w:rFonts w:ascii="Arial" w:cs="Arial" w:eastAsia="Arial" w:hAnsi="Arial"/>
                <w:b/>
                <w:bCs/>
                <w:color w:val="1E1B4B"/>
                <w:sz w:val="22"/>
                <w:szCs w:val="22"/>
              </w:rPr>
              <w:t xml:space="preserve">Score 7–10: </w:t>
            </w:r>
            <w:r>
              <w:rPr>
                <w:rFonts w:ascii="Arial" w:cs="Arial" w:eastAsia="Arial" w:hAnsi="Arial"/>
                <w:color w:val="1F1F1F"/>
                <w:sz w:val="22"/>
                <w:szCs w:val="22"/>
              </w:rPr>
              <w:t xml:space="preserve">🔴 Alto — proveedor con múltiples indicadores de riesgo</w:t>
            </w:r>
          </w:p>
          <w:p>
            <w:pPr>
              <w:pStyle w:val="ListParagraph"/>
              <w:numPr>
                <w:ilvl w:val="0"/>
                <w:numId w:val="2"/>
              </w:numPr>
              <w:spacing w:after="40" w:before="40"/>
            </w:pPr>
            <w:r>
              <w:rPr>
                <w:rFonts w:ascii="Arial" w:cs="Arial" w:eastAsia="Arial" w:hAnsi="Arial"/>
                <w:b/>
                <w:bCs/>
                <w:color w:val="1E1B4B"/>
                <w:sz w:val="22"/>
                <w:szCs w:val="22"/>
              </w:rPr>
              <w:t xml:space="preserve">Score 4–6: </w:t>
            </w:r>
            <w:r>
              <w:rPr>
                <w:rFonts w:ascii="Arial" w:cs="Arial" w:eastAsia="Arial" w:hAnsi="Arial"/>
                <w:color w:val="1F1F1F"/>
                <w:sz w:val="22"/>
                <w:szCs w:val="22"/>
              </w:rPr>
              <w:t xml:space="preserve">🟡 Medio — alertas moderadas, requiere seguimiento</w:t>
            </w:r>
          </w:p>
          <w:p>
            <w:pPr>
              <w:pStyle w:val="ListParagraph"/>
              <w:numPr>
                <w:ilvl w:val="0"/>
                <w:numId w:val="2"/>
              </w:numPr>
              <w:spacing w:after="40" w:before="40"/>
            </w:pPr>
            <w:r>
              <w:rPr>
                <w:rFonts w:ascii="Arial" w:cs="Arial" w:eastAsia="Arial" w:hAnsi="Arial"/>
                <w:b/>
                <w:bCs/>
                <w:color w:val="1E1B4B"/>
                <w:sz w:val="22"/>
                <w:szCs w:val="22"/>
              </w:rPr>
              <w:t xml:space="preserve">Score 0–3: </w:t>
            </w:r>
            <w:r>
              <w:rPr>
                <w:rFonts w:ascii="Arial" w:cs="Arial" w:eastAsia="Arial" w:hAnsi="Arial"/>
                <w:color w:val="1F1F1F"/>
                <w:sz w:val="22"/>
                <w:szCs w:val="22"/>
              </w:rPr>
              <w:t xml:space="preserve">🟢 Bajo — sin alertas significativas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20"/>
              <w:bottom w:type="dxa" w:w="160"/>
              <w:right w:type="dxa" w:w="220"/>
            </w:tcMar>
          </w:tcPr>
          <w:p>
            <w:pPr>
              <w:spacing w:after="80" w:before="0"/>
            </w:pPr>
            <w:r>
              <w:rPr>
                <w:rFonts w:ascii="Arial" w:cs="Arial" w:eastAsia="Arial" w:hAnsi="Arial"/>
                <w:b/>
                <w:bCs/>
                <w:color w:val="5B21B6"/>
                <w:sz w:val="24"/>
                <w:szCs w:val="24"/>
              </w:rPr>
              <w:t xml:space="preserve">Solapa 3: 🔎 Perfil individual</w:t>
            </w:r>
          </w:p>
          <w:p>
            <w:pPr>
              <w:spacing w:after="100" w:before="0"/>
            </w:pPr>
            <w:r>
              <w:rPr>
                <w:rFonts w:ascii="Arial" w:cs="Arial" w:eastAsia="Arial" w:hAnsi="Arial"/>
                <w:i/>
                <w:iCs/>
                <w:color w:val="4B5563"/>
                <w:sz w:val="20"/>
                <w:szCs w:val="20"/>
              </w:rPr>
              <w:t xml:space="preserve">Búsqueda por CUIT o nombre de empresa para obtener el perfil completo de un proveedor.</w:t>
            </w:r>
          </w:p>
          <w:p>
            <w:pPr>
              <w:spacing w:after="40" w:before="60"/>
            </w:pPr>
            <w:r>
              <w:rPr>
                <w:rFonts w:ascii="Arial" w:cs="Arial" w:eastAsia="Arial" w:hAnsi="Arial"/>
                <w:b/>
                <w:bCs/>
                <w:color w:val="1E1B4B"/>
                <w:sz w:val="20"/>
                <w:szCs w:val="20"/>
              </w:rPr>
              <w:t xml:space="preserve">Cómo buscar:</w:t>
            </w:r>
          </w:p>
          <w:p>
            <w:pPr>
              <w:pStyle w:val="ListParagraph"/>
              <w:numPr>
                <w:ilvl w:val="0"/>
                <w:numId w:val="2"/>
              </w:numPr>
              <w:spacing w:after="40" w:before="40"/>
            </w:pPr>
            <w:r>
              <w:rPr>
                <w:rFonts w:ascii="Arial" w:cs="Arial" w:eastAsia="Arial" w:hAnsi="Arial"/>
                <w:color w:val="1F1F1F"/>
                <w:sz w:val="22"/>
                <w:szCs w:val="22"/>
              </w:rPr>
              <w:t xml:space="preserve">Por CUIT: ingresar el número con o sin guiones (ej: 30-71234567-8 o 30712345678)</w:t>
            </w:r>
          </w:p>
          <w:p>
            <w:pPr>
              <w:pStyle w:val="ListParagraph"/>
              <w:numPr>
                <w:ilvl w:val="0"/>
                <w:numId w:val="2"/>
              </w:numPr>
              <w:spacing w:after="40" w:before="40"/>
            </w:pPr>
            <w:r>
              <w:rPr>
                <w:rFonts w:ascii="Arial" w:cs="Arial" w:eastAsia="Arial" w:hAnsi="Arial"/>
                <w:color w:val="1F1F1F"/>
                <w:sz w:val="22"/>
                <w:szCs w:val="22"/>
              </w:rPr>
              <w:t xml:space="preserve">Por nombre: ingresar el nombre parcial o completo de la empresa (la búsqueda es insensible a mayúsculas y acentos)</w:t>
            </w:r>
          </w:p>
          <w:p>
            <w:pPr>
              <w:spacing w:after="80" w:before="80"/>
            </w:pPr>
            <w:r>
              <w:t xml:space="preserve"/>
            </w:r>
          </w:p>
          <w:p>
            <w:pPr>
              <w:spacing w:after="40" w:before="40"/>
            </w:pPr>
            <w:r>
              <w:rPr>
                <w:rFonts w:ascii="Arial" w:cs="Arial" w:eastAsia="Arial" w:hAnsi="Arial"/>
                <w:b/>
                <w:bCs/>
                <w:color w:val="1E1B4B"/>
                <w:sz w:val="20"/>
                <w:szCs w:val="20"/>
              </w:rPr>
              <w:t xml:space="preserve">Información mostrada:</w:t>
            </w:r>
          </w:p>
          <w:p>
            <w:pPr>
              <w:pStyle w:val="ListParagraph"/>
              <w:numPr>
                <w:ilvl w:val="0"/>
                <w:numId w:val="2"/>
              </w:numPr>
              <w:spacing w:after="40" w:before="40"/>
            </w:pPr>
            <w:r>
              <w:rPr>
                <w:rFonts w:ascii="Arial" w:cs="Arial" w:eastAsia="Arial" w:hAnsi="Arial"/>
                <w:b/>
                <w:bCs/>
                <w:color w:val="1E1B4B"/>
                <w:sz w:val="22"/>
                <w:szCs w:val="22"/>
              </w:rPr>
              <w:t xml:space="preserve">Métricas: </w:t>
            </w:r>
            <w:r>
              <w:rPr>
                <w:rFonts w:ascii="Arial" w:cs="Arial" w:eastAsia="Arial" w:hAnsi="Arial"/>
                <w:color w:val="1F1F1F"/>
                <w:sz w:val="22"/>
                <w:szCs w:val="22"/>
              </w:rPr>
              <w:t xml:space="preserve">Contratos totales, monto adjudicado, cobrado en TGN, cantidad de organismos</w:t>
            </w:r>
          </w:p>
          <w:p>
            <w:pPr>
              <w:pStyle w:val="ListParagraph"/>
              <w:numPr>
                <w:ilvl w:val="0"/>
                <w:numId w:val="2"/>
              </w:numPr>
              <w:spacing w:after="40" w:before="40"/>
            </w:pPr>
            <w:r>
              <w:rPr>
                <w:rFonts w:ascii="Arial" w:cs="Arial" w:eastAsia="Arial" w:hAnsi="Arial"/>
                <w:b/>
                <w:bCs/>
                <w:color w:val="1E1B4B"/>
                <w:sz w:val="22"/>
                <w:szCs w:val="22"/>
              </w:rPr>
              <w:t xml:space="preserve">Gráfico Monto por organismo: </w:t>
            </w:r>
            <w:r>
              <w:rPr>
                <w:rFonts w:ascii="Arial" w:cs="Arial" w:eastAsia="Arial" w:hAnsi="Arial"/>
                <w:color w:val="1F1F1F"/>
                <w:sz w:val="22"/>
                <w:szCs w:val="22"/>
              </w:rPr>
              <w:t xml:space="preserve">Barras horizontales mostrando a qué organismos le vendió y cuánto</w:t>
            </w:r>
          </w:p>
          <w:p>
            <w:pPr>
              <w:pStyle w:val="ListParagraph"/>
              <w:numPr>
                <w:ilvl w:val="0"/>
                <w:numId w:val="2"/>
              </w:numPr>
              <w:spacing w:after="40" w:before="40"/>
            </w:pPr>
            <w:r>
              <w:rPr>
                <w:rFonts w:ascii="Arial" w:cs="Arial" w:eastAsia="Arial" w:hAnsi="Arial"/>
                <w:b/>
                <w:bCs/>
                <w:color w:val="1E1B4B"/>
                <w:sz w:val="22"/>
                <w:szCs w:val="22"/>
              </w:rPr>
              <w:t xml:space="preserve">Gráfico Evolución mensual: </w:t>
            </w:r>
            <w:r>
              <w:rPr>
                <w:rFonts w:ascii="Arial" w:cs="Arial" w:eastAsia="Arial" w:hAnsi="Arial"/>
                <w:color w:val="1F1F1F"/>
                <w:sz w:val="22"/>
                <w:szCs w:val="22"/>
              </w:rPr>
              <w:t xml:space="preserve">Línea de tiempo del monto adjudicado mes a mes</w:t>
            </w:r>
          </w:p>
          <w:p>
            <w:pPr>
              <w:pStyle w:val="ListParagraph"/>
              <w:numPr>
                <w:ilvl w:val="0"/>
                <w:numId w:val="2"/>
              </w:numPr>
              <w:spacing w:after="40" w:before="40"/>
            </w:pPr>
            <w:r>
              <w:rPr>
                <w:rFonts w:ascii="Arial" w:cs="Arial" w:eastAsia="Arial" w:hAnsi="Arial"/>
                <w:b/>
                <w:bCs/>
                <w:color w:val="1E1B4B"/>
                <w:sz w:val="22"/>
                <w:szCs w:val="22"/>
              </w:rPr>
              <w:t xml:space="preserve">Red flags del proveedor: </w:t>
            </w:r>
            <w:r>
              <w:rPr>
                <w:rFonts w:ascii="Arial" w:cs="Arial" w:eastAsia="Arial" w:hAnsi="Arial"/>
                <w:color w:val="1F1F1F"/>
                <w:sz w:val="22"/>
                <w:szCs w:val="22"/>
              </w:rPr>
              <w:t xml:space="preserve">Tabla de indicadores de riesgo y su frecuencia</w:t>
            </w:r>
          </w:p>
          <w:p>
            <w:pPr>
              <w:pStyle w:val="ListParagraph"/>
              <w:numPr>
                <w:ilvl w:val="0"/>
                <w:numId w:val="2"/>
              </w:numPr>
              <w:spacing w:after="40" w:before="40"/>
            </w:pPr>
            <w:r>
              <w:rPr>
                <w:rFonts w:ascii="Arial" w:cs="Arial" w:eastAsia="Arial" w:hAnsi="Arial"/>
                <w:b/>
                <w:bCs/>
                <w:color w:val="1E1B4B"/>
                <w:sz w:val="22"/>
                <w:szCs w:val="22"/>
              </w:rPr>
              <w:t xml:space="preserve">Tabla de contratos: </w:t>
            </w:r>
            <w:r>
              <w:rPr>
                <w:rFonts w:ascii="Arial" w:cs="Arial" w:eastAsia="Arial" w:hAnsi="Arial"/>
                <w:color w:val="1F1F1F"/>
                <w:sz w:val="22"/>
                <w:szCs w:val="22"/>
              </w:rPr>
              <w:t xml:space="preserve">Detalle de todos los contratos con fecha, organismo, monto y link BORA</w:t>
            </w:r>
          </w:p>
        </w:tc>
      </w:tr>
    </w:tbl>
    <w:p>
      <w:pPr>
        <w:spacing w:after="80" w:before="8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1E1B4B" w:val="clear"/>
            <w:tcMar>
              <w:top w:type="dxa" w:w="200"/>
              <w:left w:type="dxa" w:w="240"/>
              <w:bottom w:type="dxa" w:w="200"/>
              <w:right w:type="dxa" w:w="240"/>
            </w:tcMar>
          </w:tcPr>
          <w:p>
            <w:pPr>
              <w:spacing w:after="60" w:before="0"/>
            </w:pPr>
            <w:r>
              <w:rPr>
                <w:rFonts w:ascii="Arial" w:cs="Arial" w:eastAsia="Arial" w:hAnsi="Arial"/>
                <w:b/>
                <w:bCs/>
                <w:color w:val="FFFFFF"/>
                <w:sz w:val="32"/>
                <w:szCs w:val="32"/>
              </w:rPr>
              <w:t xml:space="preserve">🔍  6. Sección: Monitor de Concentración</w:t>
            </w:r>
          </w:p>
          <w:p>
            <w:pPr>
              <w:spacing w:after="0" w:before="0"/>
            </w:pPr>
            <w:r>
              <w:rPr>
                <w:rFonts w:ascii="Arial" w:cs="Arial" w:eastAsia="Arial" w:hAnsi="Arial"/>
                <w:color w:val="C4B5FD"/>
                <w:sz w:val="20"/>
                <w:szCs w:val="20"/>
              </w:rPr>
              <w:t xml:space="preserve">Análisis sistémico de patrones — Teoría Monteverde (2020)</w:t>
            </w:r>
          </w:p>
        </w:tc>
      </w:tr>
    </w:tbl>
    <w:p>
      <w:pPr>
        <w:spacing w:after="80" w:before="80"/>
      </w:pPr>
      <w:r>
        <w:t xml:space="preserve"/>
      </w:r>
    </w:p>
    <w:p>
      <w:pPr>
        <w:spacing w:after="80" w:before="60"/>
      </w:pPr>
      <w:r>
        <w:rPr>
          <w:rFonts w:ascii="Arial" w:cs="Arial" w:eastAsia="Arial" w:hAnsi="Arial"/>
          <w:color w:val="1F1F1F"/>
          <w:sz w:val="22"/>
          <w:szCs w:val="22"/>
        </w:rPr>
        <w:t xml:space="preserve">Esta es la sección más avanzada del sistema. Aplica cinco algoritmos de detección automática de fenómenos corruptivos sobre el dataset completo. Cada algoritmo se presenta en una solapa independiente.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20"/>
              <w:bottom w:type="dxa" w:w="160"/>
              <w:right w:type="dxa" w:w="220"/>
            </w:tcMar>
          </w:tcPr>
          <w:p>
            <w:pPr>
              <w:spacing w:after="80" w:before="0"/>
            </w:pPr>
            <w:r>
              <w:rPr>
                <w:rFonts w:ascii="Arial" w:cs="Arial" w:eastAsia="Arial" w:hAnsi="Arial"/>
                <w:b/>
                <w:bCs/>
                <w:color w:val="5B21B6"/>
                <w:sz w:val="24"/>
                <w:szCs w:val="24"/>
              </w:rPr>
              <w:t xml:space="preserve">Solapa 1: 🔪 Fragmentación de contratos</w:t>
            </w:r>
          </w:p>
          <w:p>
            <w:pPr>
              <w:spacing w:after="100" w:before="0"/>
            </w:pPr>
            <w:r>
              <w:rPr>
                <w:rFonts w:ascii="Arial" w:cs="Arial" w:eastAsia="Arial" w:hAnsi="Arial"/>
                <w:i/>
                <w:iCs/>
                <w:color w:val="4B5563"/>
                <w:sz w:val="20"/>
                <w:szCs w:val="20"/>
              </w:rPr>
              <w:t xml:space="preserve">Detecta organismos que dividen contratos para evitar el umbral de licitación pública ($10.000.000 ARS ±15%).</w:t>
            </w:r>
          </w:p>
          <w:p>
            <w:pPr>
              <w:spacing w:after="40" w:before="60"/>
            </w:pPr>
            <w:r>
              <w:rPr>
                <w:rFonts w:ascii="Arial" w:cs="Arial" w:eastAsia="Arial" w:hAnsi="Arial"/>
                <w:b/>
                <w:bCs/>
                <w:color w:val="1E1B4B"/>
                <w:sz w:val="20"/>
                <w:szCs w:val="20"/>
              </w:rPr>
              <w:t xml:space="preserve">Cómo funciona:</w:t>
            </w:r>
          </w:p>
          <w:p>
            <w:pPr>
              <w:pStyle w:val="ListParagraph"/>
              <w:numPr>
                <w:ilvl w:val="0"/>
                <w:numId w:val="2"/>
              </w:numPr>
              <w:spacing w:after="40" w:before="40"/>
            </w:pPr>
            <w:r>
              <w:rPr>
                <w:rFonts w:ascii="Arial" w:cs="Arial" w:eastAsia="Arial" w:hAnsi="Arial"/>
                <w:color w:val="1F1F1F"/>
                <w:sz w:val="22"/>
                <w:szCs w:val="22"/>
              </w:rPr>
              <w:t xml:space="preserve">El algoritmo busca contratos con montos en el rango $8.500.000 – $11.500.000 ARS</w:t>
            </w:r>
          </w:p>
          <w:p>
            <w:pPr>
              <w:pStyle w:val="ListParagraph"/>
              <w:numPr>
                <w:ilvl w:val="0"/>
                <w:numId w:val="2"/>
              </w:numPr>
              <w:spacing w:after="40" w:before="40"/>
            </w:pPr>
            <w:r>
              <w:rPr>
                <w:rFonts w:ascii="Arial" w:cs="Arial" w:eastAsia="Arial" w:hAnsi="Arial"/>
                <w:color w:val="1F1F1F"/>
                <w:sz w:val="22"/>
                <w:szCs w:val="22"/>
              </w:rPr>
              <w:t xml:space="preserve">Agrupa por organismo: si un organismo tiene 2 o más contratos en ese rango, se considera sospechoso</w:t>
            </w:r>
          </w:p>
          <w:p>
            <w:pPr>
              <w:pStyle w:val="ListParagraph"/>
              <w:numPr>
                <w:ilvl w:val="0"/>
                <w:numId w:val="2"/>
              </w:numPr>
              <w:spacing w:after="40" w:before="40"/>
            </w:pPr>
            <w:r>
              <w:rPr>
                <w:rFonts w:ascii="Arial" w:cs="Arial" w:eastAsia="Arial" w:hAnsi="Arial"/>
                <w:color w:val="1F1F1F"/>
                <w:sz w:val="22"/>
                <w:szCs w:val="22"/>
              </w:rPr>
              <w:t xml:space="preserve">La alerta se clasifica: 🔴 Crítico (5+), 🟡 Moderado (3-4), 🟠 Leve (2)</w:t>
            </w:r>
          </w:p>
          <w:p>
            <w:pPr>
              <w:spacing w:after="80" w:before="80"/>
            </w:pPr>
            <w:r>
              <w:t xml:space="preserve"/>
            </w:r>
          </w:p>
          <w:p>
            <w:pPr>
              <w:spacing w:after="40" w:before="40"/>
            </w:pPr>
            <w:r>
              <w:rPr>
                <w:rFonts w:ascii="Arial" w:cs="Arial" w:eastAsia="Arial" w:hAnsi="Arial"/>
                <w:b/>
                <w:bCs/>
                <w:color w:val="1E1B4B"/>
                <w:sz w:val="20"/>
                <w:szCs w:val="20"/>
              </w:rPr>
              <w:t xml:space="preserve">Resultado:</w:t>
            </w:r>
          </w:p>
          <w:p>
            <w:pPr>
              <w:pStyle w:val="ListParagraph"/>
              <w:numPr>
                <w:ilvl w:val="0"/>
                <w:numId w:val="2"/>
              </w:numPr>
              <w:spacing w:after="40" w:before="40"/>
            </w:pPr>
            <w:r>
              <w:rPr>
                <w:rFonts w:ascii="Arial" w:cs="Arial" w:eastAsia="Arial" w:hAnsi="Arial"/>
                <w:color w:val="1F1F1F"/>
                <w:sz w:val="22"/>
                <w:szCs w:val="22"/>
              </w:rPr>
              <w:t xml:space="preserve">Tabla con organismo, cantidad de contratos cerca del umbral, monto total y nivel de alerta</w:t>
            </w:r>
          </w:p>
          <w:p>
            <w:pPr>
              <w:pStyle w:val="ListParagraph"/>
              <w:numPr>
                <w:ilvl w:val="0"/>
                <w:numId w:val="2"/>
              </w:numPr>
              <w:spacing w:after="40" w:before="40"/>
            </w:pPr>
            <w:r>
              <w:rPr>
                <w:rFonts w:ascii="Arial" w:cs="Arial" w:eastAsia="Arial" w:hAnsi="Arial"/>
                <w:color w:val="1F1F1F"/>
                <w:sz w:val="22"/>
                <w:szCs w:val="22"/>
              </w:rPr>
              <w:t xml:space="preserve">Si no hay fragmentación: mensaje de confirmación verde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20"/>
              <w:bottom w:type="dxa" w:w="160"/>
              <w:right w:type="dxa" w:w="220"/>
            </w:tcMar>
          </w:tcPr>
          <w:p>
            <w:pPr>
              <w:spacing w:after="80" w:before="0"/>
            </w:pPr>
            <w:r>
              <w:rPr>
                <w:rFonts w:ascii="Arial" w:cs="Arial" w:eastAsia="Arial" w:hAnsi="Arial"/>
                <w:b/>
                <w:bCs/>
                <w:color w:val="5B21B6"/>
                <w:sz w:val="24"/>
                <w:szCs w:val="24"/>
              </w:rPr>
              <w:t xml:space="preserve">Solapa 2: 🔒 Proveedor único por organismo</w:t>
            </w:r>
          </w:p>
          <w:p>
            <w:pPr>
              <w:spacing w:after="100" w:before="0"/>
            </w:pPr>
            <w:r>
              <w:rPr>
                <w:rFonts w:ascii="Arial" w:cs="Arial" w:eastAsia="Arial" w:hAnsi="Arial"/>
                <w:i/>
                <w:iCs/>
                <w:color w:val="4B5563"/>
                <w:sz w:val="20"/>
                <w:szCs w:val="20"/>
              </w:rPr>
              <w:t xml:space="preserve">Detecta organismos que adjudican siempre (o casi) al mismo CUIT, señal de captura del contratista.</w:t>
            </w:r>
          </w:p>
          <w:p>
            <w:pPr>
              <w:spacing w:after="40" w:before="60"/>
            </w:pPr>
            <w:r>
              <w:rPr>
                <w:rFonts w:ascii="Arial" w:cs="Arial" w:eastAsia="Arial" w:hAnsi="Arial"/>
                <w:b/>
                <w:bCs/>
                <w:color w:val="1E1B4B"/>
                <w:sz w:val="20"/>
                <w:szCs w:val="20"/>
              </w:rPr>
              <w:t xml:space="preserve">Parámetros del algoritmo:</w:t>
            </w:r>
          </w:p>
          <w:p>
            <w:pPr>
              <w:pStyle w:val="ListParagraph"/>
              <w:numPr>
                <w:ilvl w:val="0"/>
                <w:numId w:val="2"/>
              </w:numPr>
              <w:spacing w:after="40" w:before="40"/>
            </w:pPr>
            <w:r>
              <w:rPr>
                <w:rFonts w:ascii="Arial" w:cs="Arial" w:eastAsia="Arial" w:hAnsi="Arial"/>
                <w:color w:val="1F1F1F"/>
                <w:sz w:val="22"/>
                <w:szCs w:val="22"/>
              </w:rPr>
              <w:t xml:space="preserve">Se analiza a partir de 3 adjudicaciones mínimas por organismo</w:t>
            </w:r>
          </w:p>
          <w:p>
            <w:pPr>
              <w:pStyle w:val="ListParagraph"/>
              <w:numPr>
                <w:ilvl w:val="0"/>
                <w:numId w:val="2"/>
              </w:numPr>
              <w:spacing w:after="40" w:before="40"/>
            </w:pPr>
            <w:r>
              <w:rPr>
                <w:rFonts w:ascii="Arial" w:cs="Arial" w:eastAsia="Arial" w:hAnsi="Arial"/>
                <w:color w:val="1F1F1F"/>
                <w:sz w:val="22"/>
                <w:szCs w:val="22"/>
              </w:rPr>
              <w:t xml:space="preserve">🔴 Proveedor único: 1 solo CUIT en el 100% de las adjudicaciones</w:t>
            </w:r>
          </w:p>
          <w:p>
            <w:pPr>
              <w:pStyle w:val="ListParagraph"/>
              <w:numPr>
                <w:ilvl w:val="0"/>
                <w:numId w:val="2"/>
              </w:numPr>
              <w:spacing w:after="40" w:before="40"/>
            </w:pPr>
            <w:r>
              <w:rPr>
                <w:rFonts w:ascii="Arial" w:cs="Arial" w:eastAsia="Arial" w:hAnsi="Arial"/>
                <w:color w:val="1F1F1F"/>
                <w:sz w:val="22"/>
                <w:szCs w:val="22"/>
              </w:rPr>
              <w:t xml:space="preserve">🟡 Alta concentración: un CUIT recibe ≥60% del monto total</w:t>
            </w:r>
          </w:p>
          <w:p>
            <w:pPr>
              <w:spacing w:after="80" w:before="80"/>
            </w:pPr>
            <w:r>
              <w:t xml:space="preserve"/>
            </w:r>
          </w:p>
          <w:p>
            <w:pPr>
              <w:spacing w:after="40" w:before="40"/>
            </w:pPr>
            <w:r>
              <w:rPr>
                <w:rFonts w:ascii="Arial" w:cs="Arial" w:eastAsia="Arial" w:hAnsi="Arial"/>
                <w:b/>
                <w:bCs/>
                <w:color w:val="1E1B4B"/>
                <w:sz w:val="20"/>
                <w:szCs w:val="20"/>
              </w:rPr>
              <w:t xml:space="preserve">Resultado:</w:t>
            </w:r>
          </w:p>
          <w:p>
            <w:pPr>
              <w:pStyle w:val="ListParagraph"/>
              <w:numPr>
                <w:ilvl w:val="0"/>
                <w:numId w:val="2"/>
              </w:numPr>
              <w:spacing w:after="40" w:before="40"/>
            </w:pPr>
            <w:r>
              <w:rPr>
                <w:rFonts w:ascii="Arial" w:cs="Arial" w:eastAsia="Arial" w:hAnsi="Arial"/>
                <w:color w:val="1F1F1F"/>
                <w:sz w:val="22"/>
                <w:szCs w:val="22"/>
              </w:rPr>
              <w:t xml:space="preserve">Tabla con organismo, cantidad de adjudicaciones, CUITs distintos, monto total y % de concentración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20"/>
              <w:bottom w:type="dxa" w:w="160"/>
              <w:right w:type="dxa" w:w="220"/>
            </w:tcMar>
          </w:tcPr>
          <w:p>
            <w:pPr>
              <w:spacing w:after="80" w:before="0"/>
            </w:pPr>
            <w:r>
              <w:rPr>
                <w:rFonts w:ascii="Arial" w:cs="Arial" w:eastAsia="Arial" w:hAnsi="Arial"/>
                <w:b/>
                <w:bCs/>
                <w:color w:val="5B21B6"/>
                <w:sz w:val="24"/>
                <w:szCs w:val="24"/>
              </w:rPr>
              <w:t xml:space="preserve">Solapa 3: ⚡ Ráfagas de adjudicación</w:t>
            </w:r>
          </w:p>
          <w:p>
            <w:pPr>
              <w:spacing w:after="100" w:before="0"/>
            </w:pPr>
            <w:r>
              <w:rPr>
                <w:rFonts w:ascii="Arial" w:cs="Arial" w:eastAsia="Arial" w:hAnsi="Arial"/>
                <w:i/>
                <w:iCs/>
                <w:color w:val="4B5563"/>
                <w:sz w:val="20"/>
                <w:szCs w:val="20"/>
              </w:rPr>
              <w:t xml:space="preserve">Detecta proveedores con 3 o más adjudicaciones en una ventana de 7 días — aceleración sospechosa.</w:t>
            </w:r>
          </w:p>
          <w:p>
            <w:pPr>
              <w:spacing w:after="40" w:before="60"/>
            </w:pPr>
            <w:r>
              <w:rPr>
                <w:rFonts w:ascii="Arial" w:cs="Arial" w:eastAsia="Arial" w:hAnsi="Arial"/>
                <w:b/>
                <w:bCs/>
                <w:color w:val="1E1B4B"/>
                <w:sz w:val="20"/>
                <w:szCs w:val="20"/>
              </w:rPr>
              <w:t xml:space="preserve">Cómo funciona:</w:t>
            </w:r>
          </w:p>
          <w:p>
            <w:pPr>
              <w:pStyle w:val="ListParagraph"/>
              <w:numPr>
                <w:ilvl w:val="0"/>
                <w:numId w:val="2"/>
              </w:numPr>
              <w:spacing w:after="40" w:before="40"/>
            </w:pPr>
            <w:r>
              <w:rPr>
                <w:rFonts w:ascii="Arial" w:cs="Arial" w:eastAsia="Arial" w:hAnsi="Arial"/>
                <w:color w:val="1F1F1F"/>
                <w:sz w:val="22"/>
                <w:szCs w:val="22"/>
              </w:rPr>
              <w:t xml:space="preserve">Ventana deslizante de 7 días por cada proveedor (CUIT)</w:t>
            </w:r>
          </w:p>
          <w:p>
            <w:pPr>
              <w:pStyle w:val="ListParagraph"/>
              <w:numPr>
                <w:ilvl w:val="0"/>
                <w:numId w:val="2"/>
              </w:numPr>
              <w:spacing w:after="40" w:before="40"/>
            </w:pPr>
            <w:r>
              <w:rPr>
                <w:rFonts w:ascii="Arial" w:cs="Arial" w:eastAsia="Arial" w:hAnsi="Arial"/>
                <w:color w:val="1F1F1F"/>
                <w:sz w:val="22"/>
                <w:szCs w:val="22"/>
              </w:rPr>
              <w:t xml:space="preserve">Si en esa ventana hay 3+ adjudicaciones, se registra como ráfaga</w:t>
            </w:r>
          </w:p>
          <w:p>
            <w:pPr>
              <w:pStyle w:val="ListParagraph"/>
              <w:numPr>
                <w:ilvl w:val="0"/>
                <w:numId w:val="2"/>
              </w:numPr>
              <w:spacing w:after="40" w:before="40"/>
            </w:pPr>
            <w:r>
              <w:rPr>
                <w:rFonts w:ascii="Arial" w:cs="Arial" w:eastAsia="Arial" w:hAnsi="Arial"/>
                <w:color w:val="1F1F1F"/>
                <w:sz w:val="22"/>
                <w:szCs w:val="22"/>
              </w:rPr>
              <w:t xml:space="preserve">Clasificación: 🔴 Crítico (7+), 🟡 Moderado (5-6), 🟠 Leve (3-4)</w:t>
            </w:r>
          </w:p>
          <w:p>
            <w:pPr>
              <w:spacing w:after="80" w:before="80"/>
            </w:pPr>
            <w:r>
              <w:t xml:space="preserve"/>
            </w:r>
          </w:p>
          <w:p>
            <w:pPr>
              <w:spacing w:after="40" w:before="40"/>
            </w:pPr>
            <w:r>
              <w:rPr>
                <w:rFonts w:ascii="Arial" w:cs="Arial" w:eastAsia="Arial" w:hAnsi="Arial"/>
                <w:b/>
                <w:bCs/>
                <w:color w:val="1E1B4B"/>
                <w:sz w:val="20"/>
                <w:szCs w:val="20"/>
              </w:rPr>
              <w:t xml:space="preserve">Resultado:</w:t>
            </w:r>
          </w:p>
          <w:p>
            <w:pPr>
              <w:pStyle w:val="ListParagraph"/>
              <w:numPr>
                <w:ilvl w:val="0"/>
                <w:numId w:val="2"/>
              </w:numPr>
              <w:spacing w:after="40" w:before="40"/>
            </w:pPr>
            <w:r>
              <w:rPr>
                <w:rFonts w:ascii="Arial" w:cs="Arial" w:eastAsia="Arial" w:hAnsi="Arial"/>
                <w:color w:val="1F1F1F"/>
                <w:sz w:val="22"/>
                <w:szCs w:val="22"/>
              </w:rPr>
              <w:t xml:space="preserve">Gráfico de dispersión (scatter): eje X = fecha, eje Y = cantidad de adjudicaciones, tamaño del punto = monto total</w:t>
            </w:r>
          </w:p>
          <w:p>
            <w:pPr>
              <w:pStyle w:val="ListParagraph"/>
              <w:numPr>
                <w:ilvl w:val="0"/>
                <w:numId w:val="2"/>
              </w:numPr>
              <w:spacing w:after="40" w:before="40"/>
            </w:pPr>
            <w:r>
              <w:rPr>
                <w:rFonts w:ascii="Arial" w:cs="Arial" w:eastAsia="Arial" w:hAnsi="Arial"/>
                <w:color w:val="1F1F1F"/>
                <w:sz w:val="22"/>
                <w:szCs w:val="22"/>
              </w:rPr>
              <w:t xml:space="preserve">Tabla con CUIT, nombre, fecha inicio, fecha fin, adjudicaciones en ventana, monto total y organismos involucrados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20"/>
              <w:bottom w:type="dxa" w:w="160"/>
              <w:right w:type="dxa" w:w="220"/>
            </w:tcMar>
          </w:tcPr>
          <w:p>
            <w:pPr>
              <w:spacing w:after="80" w:before="0"/>
            </w:pPr>
            <w:r>
              <w:rPr>
                <w:rFonts w:ascii="Arial" w:cs="Arial" w:eastAsia="Arial" w:hAnsi="Arial"/>
                <w:b/>
                <w:bCs/>
                <w:color w:val="5B21B6"/>
                <w:sz w:val="24"/>
                <w:szCs w:val="24"/>
              </w:rPr>
              <w:t xml:space="preserve">Solapa 4: 📐 HHI — Índice de concentración</w:t>
            </w:r>
          </w:p>
          <w:p>
            <w:pPr>
              <w:spacing w:after="100" w:before="0"/>
            </w:pPr>
            <w:r>
              <w:rPr>
                <w:rFonts w:ascii="Arial" w:cs="Arial" w:eastAsia="Arial" w:hAnsi="Arial"/>
                <w:i/>
                <w:iCs/>
                <w:color w:val="4B5563"/>
                <w:sz w:val="20"/>
                <w:szCs w:val="20"/>
              </w:rPr>
              <w:t xml:space="preserve">Muestra el ranking de organismos por su índice HHI de concentración del gasto.</w:t>
            </w:r>
          </w:p>
          <w:p>
            <w:pPr>
              <w:spacing w:after="40" w:before="60"/>
            </w:pPr>
            <w:r>
              <w:rPr>
                <w:rFonts w:ascii="Arial" w:cs="Arial" w:eastAsia="Arial" w:hAnsi="Arial"/>
                <w:b/>
                <w:bCs/>
                <w:color w:val="1E1B4B"/>
                <w:sz w:val="20"/>
                <w:szCs w:val="20"/>
              </w:rPr>
              <w:t xml:space="preserve">Contenido:</w:t>
            </w:r>
          </w:p>
          <w:p>
            <w:pPr>
              <w:pStyle w:val="ListParagraph"/>
              <w:numPr>
                <w:ilvl w:val="0"/>
                <w:numId w:val="2"/>
              </w:numPr>
              <w:spacing w:after="40" w:before="40"/>
            </w:pPr>
            <w:r>
              <w:rPr>
                <w:rFonts w:ascii="Arial" w:cs="Arial" w:eastAsia="Arial" w:hAnsi="Arial"/>
                <w:color w:val="1F1F1F"/>
                <w:sz w:val="22"/>
                <w:szCs w:val="22"/>
              </w:rPr>
              <w:t xml:space="preserve">Gráfico de barras horizontales: Top 20 organismos por HHI (escala de rojos)</w:t>
            </w:r>
          </w:p>
          <w:p>
            <w:pPr>
              <w:pStyle w:val="ListParagraph"/>
              <w:numPr>
                <w:ilvl w:val="0"/>
                <w:numId w:val="2"/>
              </w:numPr>
              <w:spacing w:after="40" w:before="40"/>
            </w:pPr>
            <w:r>
              <w:rPr>
                <w:rFonts w:ascii="Arial" w:cs="Arial" w:eastAsia="Arial" w:hAnsi="Arial"/>
                <w:color w:val="1F1F1F"/>
                <w:sz w:val="22"/>
                <w:szCs w:val="22"/>
              </w:rPr>
              <w:t xml:space="preserve">Líneas de referencia verticales: HHI = 1.500 (concentración moderada) y HHI = 2.500 (alta concentración)</w:t>
            </w:r>
          </w:p>
          <w:p>
            <w:pPr>
              <w:pStyle w:val="ListParagraph"/>
              <w:numPr>
                <w:ilvl w:val="0"/>
                <w:numId w:val="2"/>
              </w:numPr>
              <w:spacing w:after="40" w:before="40"/>
            </w:pPr>
            <w:r>
              <w:rPr>
                <w:rFonts w:ascii="Arial" w:cs="Arial" w:eastAsia="Arial" w:hAnsi="Arial"/>
                <w:color w:val="1F1F1F"/>
                <w:sz w:val="22"/>
                <w:szCs w:val="22"/>
              </w:rPr>
              <w:t xml:space="preserve">Tabla completa con organismo, HHI, adjudicaciones, CUITs distintos, % concentrado en top CUIT y nivel</w:t>
            </w:r>
          </w:p>
          <w:p>
            <w:pPr>
              <w:spacing w:after="80" w:before="80"/>
            </w:pPr>
            <w:r>
              <w:t xml:space="preserve"/>
            </w:r>
          </w:p>
          <w:p>
            <w:pPr>
              <w:spacing w:after="40" w:before="40"/>
            </w:pPr>
            <w:r>
              <w:rPr>
                <w:rFonts w:ascii="Arial" w:cs="Arial" w:eastAsia="Arial" w:hAnsi="Arial"/>
                <w:i/>
                <w:iCs/>
                <w:color w:val="4B5563"/>
                <w:sz w:val="20"/>
                <w:szCs w:val="20"/>
              </w:rPr>
              <w:t xml:space="preserve">Cálculo: HHI = Σ(participación_i²) × 10.000, donde participación_i es la fracción del monto total que recibe cada proveedor 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5F3FF" w:val="clear"/>
            <w:tcMar>
              <w:top w:type="dxa" w:w="160"/>
              <w:left w:type="dxa" w:w="220"/>
              <w:bottom w:type="dxa" w:w="160"/>
              <w:right w:type="dxa" w:w="220"/>
            </w:tcMar>
          </w:tcPr>
          <w:p>
            <w:pPr>
              <w:spacing w:after="80" w:before="0"/>
            </w:pPr>
            <w:r>
              <w:rPr>
                <w:rFonts w:ascii="Arial" w:cs="Arial" w:eastAsia="Arial" w:hAnsi="Arial"/>
                <w:b/>
                <w:bCs/>
                <w:color w:val="5B21B6"/>
                <w:sz w:val="24"/>
                <w:szCs w:val="24"/>
              </w:rPr>
              <w:t xml:space="preserve">Solapa 5: 👻 Adjudicados sin cobro en TGN</w:t>
            </w:r>
          </w:p>
          <w:p>
            <w:pPr>
              <w:spacing w:after="100" w:before="0"/>
            </w:pPr>
            <w:r>
              <w:rPr>
                <w:rFonts w:ascii="Arial" w:cs="Arial" w:eastAsia="Arial" w:hAnsi="Arial"/>
                <w:i/>
                <w:iCs/>
                <w:color w:val="4B5563"/>
                <w:sz w:val="20"/>
                <w:szCs w:val="20"/>
              </w:rPr>
              <w:t xml:space="preserve">Identifica proveedores que ganaron licitaciones pero no aparecen en Tesorería — potencial empresa pantalla o dato faltante.</w:t>
            </w:r>
          </w:p>
          <w:p>
            <w:pPr>
              <w:spacing w:after="40" w:before="60"/>
            </w:pPr>
            <w:r>
              <w:rPr>
                <w:rFonts w:ascii="Arial" w:cs="Arial" w:eastAsia="Arial" w:hAnsi="Arial"/>
                <w:b/>
                <w:bCs/>
                <w:color w:val="1E1B4B"/>
                <w:sz w:val="20"/>
                <w:szCs w:val="20"/>
              </w:rPr>
              <w:t xml:space="preserve">Qué detecta:</w:t>
            </w:r>
          </w:p>
          <w:p>
            <w:pPr>
              <w:pStyle w:val="ListParagraph"/>
              <w:numPr>
                <w:ilvl w:val="0"/>
                <w:numId w:val="2"/>
              </w:numPr>
              <w:spacing w:after="40" w:before="40"/>
            </w:pPr>
            <w:r>
              <w:rPr>
                <w:rFonts w:ascii="Arial" w:cs="Arial" w:eastAsia="Arial" w:hAnsi="Arial"/>
                <w:color w:val="1F1F1F"/>
                <w:sz w:val="22"/>
                <w:szCs w:val="22"/>
              </w:rPr>
              <w:t xml:space="preserve">CUITs que aparecen en BORA/Comprar como adjudicados pero cuyo cobro no está registrado en TGN</w:t>
            </w:r>
          </w:p>
          <w:p>
            <w:pPr>
              <w:pStyle w:val="ListParagraph"/>
              <w:numPr>
                <w:ilvl w:val="0"/>
                <w:numId w:val="2"/>
              </w:numPr>
              <w:spacing w:after="40" w:before="40"/>
            </w:pPr>
            <w:r>
              <w:rPr>
                <w:rFonts w:ascii="Arial" w:cs="Arial" w:eastAsia="Arial" w:hAnsi="Arial"/>
                <w:color w:val="1F1F1F"/>
                <w:sz w:val="22"/>
                <w:szCs w:val="22"/>
              </w:rPr>
              <w:t xml:space="preserve">Puede indicar: datos incompletos del scraping, cobro diferido, empresa sin actividad real (pantalla) o sustitución del beneficiario</w:t>
            </w:r>
          </w:p>
          <w:p>
            <w:pPr>
              <w:spacing w:after="80" w:before="80"/>
            </w:pPr>
            <w:r>
              <w:t xml:space="preserve"/>
            </w:r>
          </w:p>
          <w:p>
            <w:pPr>
              <w:spacing w:after="40" w:before="40"/>
            </w:pPr>
            <w:r>
              <w:rPr>
                <w:rFonts w:ascii="Arial" w:cs="Arial" w:eastAsia="Arial" w:hAnsi="Arial"/>
                <w:b/>
                <w:bCs/>
                <w:color w:val="1E1B4B"/>
                <w:sz w:val="20"/>
                <w:szCs w:val="20"/>
              </w:rPr>
              <w:t xml:space="preserve">Resultado:</w:t>
            </w:r>
          </w:p>
          <w:p>
            <w:pPr>
              <w:pStyle w:val="ListParagraph"/>
              <w:numPr>
                <w:ilvl w:val="0"/>
                <w:numId w:val="2"/>
              </w:numPr>
              <w:spacing w:after="40" w:before="40"/>
            </w:pPr>
            <w:r>
              <w:rPr>
                <w:rFonts w:ascii="Arial" w:cs="Arial" w:eastAsia="Arial" w:hAnsi="Arial"/>
                <w:color w:val="1F1F1F"/>
                <w:sz w:val="22"/>
                <w:szCs w:val="22"/>
              </w:rPr>
              <w:t xml:space="preserve">Tabla con CUIT, nombre, cantidad de contratos, monto total adjudicado y organismo</w:t>
            </w:r>
          </w:p>
          <w:p>
            <w:pPr>
              <w:pStyle w:val="ListParagraph"/>
              <w:numPr>
                <w:ilvl w:val="0"/>
                <w:numId w:val="2"/>
              </w:numPr>
              <w:spacing w:after="40" w:before="40"/>
            </w:pPr>
            <w:r>
              <w:rPr>
                <w:rFonts w:ascii="Arial" w:cs="Arial" w:eastAsia="Arial" w:hAnsi="Arial"/>
                <w:color w:val="1F1F1F"/>
                <w:sz w:val="22"/>
                <w:szCs w:val="22"/>
              </w:rPr>
              <w:t xml:space="preserve">Si todos los adjudicados tienen cobro: mensaje de confirmación verde</w:t>
            </w:r>
          </w:p>
        </w:tc>
      </w:tr>
    </w:tbl>
    <w:p>
      <w:pPr>
        <w:spacing w:after="80" w:before="80"/>
      </w:pPr>
      <w:r>
        <w:t xml:space="preserve"/>
      </w:r>
    </w:p>
    <w:p>
      <w:pPr>
        <w:pageBreakBefore/>
      </w:pPr>
      <w:r>
        <w:t xml:space="preserve"/>
      </w:r>
    </w:p>
    <w:p>
      <w:pPr>
        <w:pStyle w:val="Heading1"/>
        <w:spacing w:after="120" w:before="360"/>
      </w:pPr>
      <w:r>
        <w:rPr>
          <w:rFonts w:ascii="Arial" w:cs="Arial" w:eastAsia="Arial" w:hAnsi="Arial"/>
          <w:b/>
          <w:bCs/>
          <w:color w:val="1E1B4B"/>
          <w:sz w:val="36"/>
          <w:szCs w:val="36"/>
        </w:rPr>
        <w:t xml:space="preserve">7. Actualización de datos</w:t>
      </w:r>
    </w:p>
    <w:p>
      <w:pPr>
        <w:spacing w:after="80" w:before="60"/>
      </w:pPr>
      <w:r>
        <w:rPr>
          <w:rFonts w:ascii="Arial" w:cs="Arial" w:eastAsia="Arial" w:hAnsi="Arial"/>
          <w:color w:val="1F1F1F"/>
          <w:sz w:val="22"/>
          <w:szCs w:val="22"/>
        </w:rPr>
        <w:t xml:space="preserve">El sistema actualiza sus datos mediante el script diario. Para ejecutar una actualización manual: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1E1B4B" w:val="clear"/>
            <w:tcMar>
              <w:top w:type="dxa" w:w="160"/>
              <w:left w:type="dxa" w:w="240"/>
              <w:bottom w:type="dxa" w:w="160"/>
              <w:right w:type="dxa" w:w="240"/>
            </w:tcMar>
          </w:tcPr>
          <w:p>
            <w:pPr>
              <w:spacing w:after="60" w:before="0"/>
            </w:pPr>
            <w:r>
              <w:rPr>
                <w:rFonts w:ascii="Courier New" w:cs="Courier New" w:eastAsia="Courier New" w:hAnsi="Courier New"/>
                <w:color w:val="A78BFA"/>
                <w:sz w:val="20"/>
                <w:szCs w:val="20"/>
              </w:rPr>
              <w:t xml:space="preserve"># Activar el entorno virtual</w:t>
            </w:r>
          </w:p>
          <w:p>
            <w:pPr>
              <w:spacing w:after="40" w:before="0"/>
            </w:pPr>
            <w:r>
              <w:rPr>
                <w:rFonts w:ascii="Courier New" w:cs="Courier New" w:eastAsia="Courier New" w:hAnsi="Courier New"/>
                <w:color w:val="6EE7B7"/>
                <w:sz w:val="20"/>
                <w:szCs w:val="20"/>
              </w:rPr>
              <w:t xml:space="preserve">.venv\Scripts\activate</w:t>
            </w:r>
          </w:p>
          <w:p>
            <w:pPr>
              <w:spacing w:after="60" w:before="0"/>
            </w:pPr>
            <w:r>
              <w:rPr>
                <w:rFonts w:ascii="Courier New" w:cs="Courier New" w:eastAsia="Courier New" w:hAnsi="Courier New"/>
                <w:color w:val="A78BFA"/>
                <w:sz w:val="20"/>
                <w:szCs w:val="20"/>
              </w:rPr>
              <w:t xml:space="preserve"># Ejecutar la descarga diaria</w:t>
            </w:r>
          </w:p>
          <w:p>
            <w:pPr>
              <w:spacing w:after="40" w:before="0"/>
            </w:pPr>
            <w:r>
              <w:rPr>
                <w:rFonts w:ascii="Courier New" w:cs="Courier New" w:eastAsia="Courier New" w:hAnsi="Courier New"/>
                <w:color w:val="6EE7B7"/>
                <w:sz w:val="20"/>
                <w:szCs w:val="20"/>
              </w:rPr>
              <w:t xml:space="preserve">python diario.py</w:t>
            </w:r>
          </w:p>
          <w:p>
            <w:pPr>
              <w:spacing w:after="60" w:before="0"/>
            </w:pPr>
            <w:r>
              <w:rPr>
                <w:rFonts w:ascii="Courier New" w:cs="Courier New" w:eastAsia="Courier New" w:hAnsi="Courier New"/>
                <w:color w:val="A78BFA"/>
                <w:sz w:val="20"/>
                <w:szCs w:val="20"/>
              </w:rPr>
              <w:t xml:space="preserve"># Iniciar el dashboard</w:t>
            </w:r>
          </w:p>
          <w:p>
            <w:pPr>
              <w:spacing w:after="0" w:before="0"/>
            </w:pPr>
            <w:r>
              <w:rPr>
                <w:rFonts w:ascii="Courier New" w:cs="Courier New" w:eastAsia="Courier New" w:hAnsi="Courier New"/>
                <w:color w:val="6EE7B7"/>
                <w:sz w:val="20"/>
                <w:szCs w:val="20"/>
              </w:rPr>
              <w:t xml:space="preserve">streamlit run dashboard_v2.py</w:t>
            </w:r>
          </w:p>
        </w:tc>
      </w:tr>
    </w:tbl>
    <w:p>
      <w:pPr>
        <w:spacing w:after="80" w:before="80"/>
      </w:pPr>
      <w:r>
        <w:t xml:space="preserve"/>
      </w:r>
    </w:p>
    <w:p>
      <w:pPr>
        <w:spacing w:after="80" w:before="60"/>
      </w:pPr>
      <w:r>
        <w:rPr>
          <w:rFonts w:ascii="Arial" w:cs="Arial" w:eastAsia="Arial" w:hAnsi="Arial"/>
          <w:color w:val="1F1F1F"/>
          <w:sz w:val="22"/>
          <w:szCs w:val="22"/>
        </w:rPr>
        <w:t xml:space="preserve">Los datos se guardan en la carpeta data/ organizados por mes y año (ej: data/2026-03/). Cada día se genera un archivo reporte_YYYY-MM-DD.xlsx y un archivo flujo_licitaciones_YYYY-MM-DD.xlsx.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EDE9FE" w:val="clear"/>
            <w:tcMar>
              <w:top w:type="dxa" w:w="120"/>
              <w:left w:type="dxa" w:w="180"/>
              <w:bottom w:type="dxa" w:w="120"/>
              <w:right w:type="dxa" w:w="180"/>
            </w:tcMar>
          </w:tcPr>
          <w:p>
            <w:pPr>
              <w:spacing w:after="60" w:before="0"/>
            </w:pPr>
            <w:r>
              <w:rPr>
                <w:rFonts w:ascii="Arial" w:cs="Arial" w:eastAsia="Arial" w:hAnsi="Arial"/>
                <w:b/>
                <w:bCs/>
                <w:color w:val="059669"/>
                <w:sz w:val="22"/>
                <w:szCs w:val="22"/>
              </w:rPr>
              <w:t xml:space="preserve">🔄 Actualización automática en producción</w:t>
            </w:r>
          </w:p>
          <w:p>
            <w:pPr>
              <w:spacing w:after="0" w:before="0"/>
            </w:pPr>
            <w:r>
              <w:rPr>
                <w:rFonts w:ascii="Arial" w:cs="Arial" w:eastAsia="Arial" w:hAnsi="Arial"/>
                <w:color w:val="1F1F1F"/>
                <w:sz w:val="20"/>
                <w:szCs w:val="20"/>
              </w:rPr>
              <w:t xml:space="preserve">En el entorno Railway (producción), el script diario.py se ejecuta automáticamente cada día hábil mediante GitHub Actions, configurado en .github/workflows/ejecucion_diaria.yml.</w:t>
            </w:r>
          </w:p>
        </w:tc>
      </w:tr>
    </w:tbl>
    <w:p>
      <w:pPr>
        <w:spacing w:after="80" w:before="80"/>
      </w:pPr>
      <w:r>
        <w:t xml:space="preserve"/>
      </w:r>
    </w:p>
    <w:p>
      <w:pPr>
        <w:pStyle w:val="Heading1"/>
        <w:spacing w:after="120" w:before="360"/>
      </w:pPr>
      <w:r>
        <w:rPr>
          <w:rFonts w:ascii="Arial" w:cs="Arial" w:eastAsia="Arial" w:hAnsi="Arial"/>
          <w:b/>
          <w:bCs/>
          <w:color w:val="1E1B4B"/>
          <w:sz w:val="36"/>
          <w:szCs w:val="36"/>
        </w:rPr>
        <w:t xml:space="preserve">8. Base científica</w:t>
      </w:r>
    </w:p>
    <w:p>
      <w:pPr>
        <w:spacing w:after="80" w:before="60"/>
      </w:pPr>
      <w:r>
        <w:rPr>
          <w:rFonts w:ascii="Arial" w:cs="Arial" w:eastAsia="Arial" w:hAnsi="Arial"/>
          <w:color w:val="1F1F1F"/>
          <w:sz w:val="22"/>
          <w:szCs w:val="22"/>
        </w:rPr>
        <w:t xml:space="preserve">Los algoritmos de detección implementados en este sistema están basados en la investigación académica: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EDE9FE" w:val="clear"/>
            <w:tcMar>
              <w:top w:type="dxa" w:w="200"/>
              <w:left w:type="dxa" w:w="280"/>
              <w:bottom w:type="dxa" w:w="200"/>
              <w:right w:type="dxa" w:w="280"/>
            </w:tcMar>
          </w:tcPr>
          <w:p>
            <w:pPr>
              <w:spacing w:after="80" w:before="0"/>
            </w:pPr>
            <w:r>
              <w:rPr>
                <w:rFonts w:ascii="Arial" w:cs="Arial" w:eastAsia="Arial" w:hAnsi="Arial"/>
                <w:b/>
                <w:bCs/>
                <w:color w:val="1E1B4B"/>
                <w:sz w:val="22"/>
                <w:szCs w:val="22"/>
              </w:rPr>
              <w:t xml:space="preserve">Monteverde, V. (2021).</w:t>
            </w:r>
          </w:p>
          <w:p>
            <w:pPr>
              <w:spacing w:after="80" w:before="0"/>
            </w:pPr>
            <w:r>
              <w:rPr>
                <w:rFonts w:ascii="Arial" w:cs="Arial" w:eastAsia="Arial" w:hAnsi="Arial"/>
                <w:i/>
                <w:iCs/>
                <w:color w:val="1F1F1F"/>
                <w:sz w:val="22"/>
                <w:szCs w:val="22"/>
              </w:rPr>
              <w:t xml:space="preserve">"Great corruption – theory of corrupt phenomena"</w:t>
            </w:r>
          </w:p>
          <w:p>
            <w:pPr>
              <w:spacing w:after="40" w:before="0"/>
            </w:pPr>
            <w:r>
              <w:rPr>
                <w:rFonts w:ascii="Arial" w:cs="Arial" w:eastAsia="Arial" w:hAnsi="Arial"/>
                <w:color w:val="4C1D95"/>
                <w:sz w:val="22"/>
                <w:szCs w:val="22"/>
              </w:rPr>
              <w:t xml:space="preserve">Journal of Financial Crime, Vol. 28 No. 2, pp. 580-592.</w:t>
            </w:r>
          </w:p>
          <w:p>
            <w:pPr>
              <w:spacing w:after="0" w:before="0"/>
            </w:pPr>
            <w:r>
              <w:rPr>
                <w:rFonts w:ascii="Arial" w:cs="Arial" w:eastAsia="Arial" w:hAnsi="Arial"/>
                <w:color w:val="7C3AED"/>
                <w:sz w:val="22"/>
                <w:szCs w:val="22"/>
              </w:rPr>
              <w:t xml:space="preserve">https://doi.org/10.1108/jfc-07-2019-0104</w:t>
            </w:r>
          </w:p>
        </w:tc>
      </w:tr>
    </w:tbl>
    <w:p>
      <w:pPr>
        <w:spacing w:after="80" w:before="80"/>
      </w:pPr>
      <w:r>
        <w:t xml:space="preserve"/>
      </w:r>
    </w:p>
    <w:p>
      <w:pPr>
        <w:spacing w:after="80" w:before="60"/>
      </w:pPr>
      <w:r>
        <w:rPr>
          <w:rFonts w:ascii="Arial" w:cs="Arial" w:eastAsia="Arial" w:hAnsi="Arial"/>
          <w:color w:val="1F1F1F"/>
          <w:sz w:val="22"/>
          <w:szCs w:val="22"/>
        </w:rPr>
        <w:t xml:space="preserve">Los cinco fenómenos corruptivos identificados en la investigación y detectados automáticamente por el sistema son: (1) fragmentación de contratos, (2) captura del contratista por proveedor único, (3) ráfagas de adjudicación, (4) concentración extrema del gasto (HHI) y (5) beneficiarios sin confirmación de cobro.</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5B21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2026-03-15T14:44:19.628Z</dcterms:created>
  <dcterms:modified xsi:type="dcterms:W3CDTF">2026-03-15T14:44:19.629Z</dcterms:modified>
</cp:coreProperties>
</file>

<file path=docProps/custom.xml><?xml version="1.0" encoding="utf-8"?>
<Properties xmlns="http://schemas.openxmlformats.org/officeDocument/2006/custom-properties" xmlns:vt="http://schemas.openxmlformats.org/officeDocument/2006/docPropsVTypes"/>
</file>