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0.6.0,</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27 predicciones pre-registradas en los estudios que se resumen aquí, 22 se cumplieron y 5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5"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End w:id="35"/>
    <w:bookmarkStart w:id="37"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w:t>
      </w:r>
    </w:p>
    <w:bookmarkStart w:id="36"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Hay una arquitectura por peso, cinco qubits y conjuntos</w:t>
      </w:r>
      <w:r>
        <w:rPr>
          <w:rFonts w:ascii="Times New Roman" w:hAnsi="Times New Roman"/>
        </w:rPr>
        <w:t xml:space="preserve"> </w:t>
      </w:r>
      <w:r>
        <w:rPr>
          <w:rFonts w:ascii="Times New Roman" w:hAnsi="Times New Roman"/>
        </w:rPr>
        <w:t xml:space="preserve">pequeños en los que una muestra de prueba vale 2–3 puntos. La codificación de peso 2 es una elección entre</w:t>
      </w:r>
      <w:r>
        <w:rPr>
          <w:rFonts w:ascii="Times New Roman" w:hAnsi="Times New Roman"/>
        </w:rPr>
        <w:t xml:space="preserve"> </w:t>
      </w:r>
      <w:r>
        <w:rPr>
          <w:rFonts w:ascii="Times New Roman" w:hAnsi="Times New Roman"/>
        </w:rPr>
        <w:t xml:space="preserve">muchas, y no aprovechó bien el sector más grande.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36"/>
    <w:bookmarkEnd w:id="37"/>
    <w:bookmarkStart w:id="51"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0.6.0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§75–§80,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3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0" w:name="refs"/>
    <w:bookmarkStart w:id="3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39"/>
    <w:bookmarkStart w:id="4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0"/>
    <w:bookmarkStart w:id="4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1">
        <w:r>
          <w:rPr>
            <w:rStyle w:val="Hyperlink"/>
          </w:rPr>
          <w:t xml:space="preserve">https://doi.org/10.22331/q-2022-12-22-881</w:t>
        </w:r>
      </w:hyperlink>
      <w:r>
        <w:rPr>
          <w:rFonts w:ascii="Times New Roman" w:hAnsi="Times New Roman"/>
        </w:rPr>
        <w:t xml:space="preserve">.</w:t>
      </w:r>
    </w:p>
    <w:bookmarkEnd w:id="42"/>
    <w:bookmarkStart w:id="4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3"/>
    <w:bookmarkStart w:id="4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4">
        <w:r>
          <w:rPr>
            <w:rStyle w:val="Hyperlink"/>
          </w:rPr>
          <w:t xml:space="preserve">https://doi.org/10.5281/zenodo.22832150</w:t>
        </w:r>
      </w:hyperlink>
      <w:r>
        <w:rPr>
          <w:rFonts w:ascii="Times New Roman" w:hAnsi="Times New Roman"/>
        </w:rPr>
        <w:t xml:space="preserve">.</w:t>
      </w:r>
    </w:p>
    <w:bookmarkEnd w:id="45"/>
    <w:bookmarkStart w:id="4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6">
        <w:r>
          <w:rPr>
            <w:rStyle w:val="Hyperlink"/>
          </w:rPr>
          <w:t xml:space="preserve">https://doi.org/10.5281/zenodo.23036963</w:t>
        </w:r>
      </w:hyperlink>
      <w:r>
        <w:rPr>
          <w:rFonts w:ascii="Times New Roman" w:hAnsi="Times New Roman"/>
        </w:rPr>
        <w:t xml:space="preserve">.</w:t>
      </w:r>
    </w:p>
    <w:bookmarkEnd w:id="47"/>
    <w:bookmarkStart w:id="4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48">
        <w:r>
          <w:rPr>
            <w:rStyle w:val="Hyperlink"/>
          </w:rPr>
          <w:t xml:space="preserve">https://doi.org/10.1145/3489517.3530400</w:t>
        </w:r>
      </w:hyperlink>
      <w:r>
        <w:rPr>
          <w:rFonts w:ascii="Times New Roman" w:hAnsi="Times New Roman"/>
        </w:rPr>
        <w:t xml:space="preserve">.</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8" Type="http://schemas.openxmlformats.org/officeDocument/2006/relationships/hyperlink" Target="https://doi.org/10.1145/3489517.3530400" TargetMode="External"/><Relationship Id="rId41" Type="http://schemas.openxmlformats.org/officeDocument/2006/relationships/hyperlink" Target="https://doi.org/10.22331/q-2022-12-22-881" TargetMode="External"/><Relationship Id="rId44" Type="http://schemas.openxmlformats.org/officeDocument/2006/relationships/hyperlink" Target="https://doi.org/10.5281/zenodo.22832150" TargetMode="External"/><Relationship Id="rId46" Type="http://schemas.openxmlformats.org/officeDocument/2006/relationships/hyperlink" Target="https://doi.org/10.5281/zenodo.23036963" TargetMode="External"/><Relationship Id="rId3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doi.org/10.1145/3489517.3530400" TargetMode="External"/><Relationship Id="rId41" Type="http://schemas.openxmlformats.org/officeDocument/2006/relationships/hyperlink" Target="https://doi.org/10.22331/q-2022-12-22-881" TargetMode="External"/><Relationship Id="rId44" Type="http://schemas.openxmlformats.org/officeDocument/2006/relationships/hyperlink" Target="https://doi.org/10.5281/zenodo.22832150" TargetMode="External"/><Relationship Id="rId46" Type="http://schemas.openxmlformats.org/officeDocument/2006/relationships/hyperlink" Target="https://doi.org/10.5281/zenodo.23036963" TargetMode="External"/><Relationship Id="rId3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2026-10-02T22:08:24Z</dcterms:created>
  <dcterms:modified xsi:type="dcterms:W3CDTF">2026-10-02T22:08:24Z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Estos modelos son simulables clásicamente y no se afirma ventaja cuántica. El filtro es una manera de hacer válido el entrenamiento sin ruido bajo relajación, con un costo en disparos conocido de antemano. Los modelos se publican como qang.qml (versión 0.6.0, pip install qang).</vt:lpwstr>
  </property>
  <property fmtid="{D5CDD505-2E9C-101B-9397-08002B2CF9AE}" pid="3" name="bibliography">
    <vt:lpwstr>../refs.bib</vt:lpwstr>
  </property>
  <property fmtid="{D5CDD505-2E9C-101B-9397-08002B2CF9AE}" pid="4" name="date">
    <vt:lpwstr>Borrador del 2 de octubre de 2026</vt:lpwstr>
  </property>
  <property fmtid="{D5CDD505-2E9C-101B-9397-08002B2CF9AE}" pid="5" name="link-citations">
    <vt:lpwstr>True</vt:lpwstr>
  </property>
</Properties>
</file>