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descartar</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decaídos</w:t>
      </w:r>
      <w:r>
        <w:rPr>
          <w:rFonts w:ascii="Times New Roman" w:hAnsi="Times New Roman"/>
        </w:rPr>
        <w:t xml:space="preserve"> </w:t>
      </w:r>
      <w:r>
        <w:rPr>
          <w:rFonts w:ascii="Times New Roman" w:hAnsi="Times New Roman"/>
        </w:rPr>
        <w:t xml:space="preserve">puede</w:t>
      </w:r>
      <w:r>
        <w:rPr>
          <w:rFonts w:ascii="Times New Roman" w:hAnsi="Times New Roman"/>
        </w:rPr>
        <w:t xml:space="preserve"> </w:t>
      </w:r>
      <w:r>
        <w:rPr>
          <w:rFonts w:ascii="Times New Roman" w:hAnsi="Times New Roman"/>
        </w:rPr>
        <w:t xml:space="preserve">costar</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0.6.2,</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52 predicciones pre-registradas en los estudios que se resumen aquí, 40 se cumplieron y 12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7"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Start w:id="35"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5"/>
    <w:bookmarkStart w:id="36"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6"/>
    <w:bookmarkEnd w:id="37"/>
    <w:bookmarkStart w:id="39"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y</w:t>
      </w:r>
      <w:r>
        <w:rPr>
          <w:rFonts w:ascii="Times New Roman" w:hAnsi="Times New Roman"/>
        </w:rPr>
        <w:t xml:space="preserve"> </w:t>
      </w:r>
      <w:r>
        <w:rPr>
          <w:rFonts w:ascii="Times New Roman" w:hAnsi="Times New Roman"/>
        </w:rPr>
        <w:t xml:space="preserve">sobre todo si su lectura tiene muchos parámetros, los disparos decaídos son datos útiles y el filtro puede</w:t>
      </w:r>
      <w:r>
        <w:rPr>
          <w:rFonts w:ascii="Times New Roman" w:hAnsi="Times New Roman"/>
        </w:rPr>
        <w:t xml:space="preserve"> </w:t>
      </w:r>
      <w:r>
        <w:rPr>
          <w:rFonts w:ascii="Times New Roman" w:hAnsi="Times New Roman"/>
        </w:rPr>
        <w:t xml:space="preserve">costar alrededor de un punto. Para modelos de peso 2, importa más cómo se cargan los datos que qué se lee.</w:t>
      </w:r>
    </w:p>
    <w:bookmarkStart w:id="38"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cinco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38"/>
    <w:bookmarkEnd w:id="39"/>
    <w:bookmarkStart w:id="53"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0.6.2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y §91,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40">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2"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2"/>
    <w:bookmarkStart w:id="44"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3">
        <w:r>
          <w:rPr>
            <w:rStyle w:val="Hyperlink"/>
          </w:rPr>
          <w:t xml:space="preserve">https://doi.org/10.22331/q-2022-12-22-881</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6">
        <w:r>
          <w:rPr>
            <w:rStyle w:val="Hyperlink"/>
          </w:rPr>
          <w:t xml:space="preserve">https://doi.org/10.5281/zenodo.22832150</w:t>
        </w:r>
      </w:hyperlink>
      <w:r>
        <w:rPr>
          <w:rFonts w:ascii="Times New Roman" w:hAnsi="Times New Roman"/>
        </w:rPr>
        <w:t xml:space="preserve">.</w:t>
      </w:r>
    </w:p>
    <w:bookmarkEnd w:id="47"/>
    <w:bookmarkStart w:id="49"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8">
        <w:r>
          <w:rPr>
            <w:rStyle w:val="Hyperlink"/>
          </w:rPr>
          <w:t xml:space="preserve">https://doi.org/10.5281/zenodo.23036963</w:t>
        </w:r>
      </w:hyperlink>
      <w:r>
        <w:rPr>
          <w:rFonts w:ascii="Times New Roman" w:hAnsi="Times New Roman"/>
        </w:rPr>
        <w:t xml:space="preserve">.</w:t>
      </w:r>
    </w:p>
    <w:bookmarkEnd w:id="49"/>
    <w:bookmarkStart w:id="51"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0">
        <w:r>
          <w:rPr>
            <w:rStyle w:val="Hyperlink"/>
          </w:rPr>
          <w:t xml:space="preserve">https://doi.org/10.1145/3489517.3530400</w:t>
        </w:r>
      </w:hyperlink>
      <w:r>
        <w:rPr>
          <w:rFonts w:ascii="Times New Roman" w:hAnsi="Times New Roman"/>
        </w:rP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145/3489517.3530400" TargetMode="External"/><Relationship Id="rId43" Type="http://schemas.openxmlformats.org/officeDocument/2006/relationships/hyperlink" Target="https://doi.org/10.22331/q-2022-12-22-881" TargetMode="External"/><Relationship Id="rId46" Type="http://schemas.openxmlformats.org/officeDocument/2006/relationships/hyperlink" Target="https://doi.org/10.5281/zenodo.22832150" TargetMode="External"/><Relationship Id="rId48" Type="http://schemas.openxmlformats.org/officeDocument/2006/relationships/hyperlink" Target="https://doi.org/10.5281/zenodo.23036963" TargetMode="External"/><Relationship Id="rId40"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2026-10-03T20:26:26Z</dcterms:created>
  <dcterms:modified xsi:type="dcterms:W3CDTF">2026-10-03T20:26:26Z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es 1.2 puntos mejor: descartar disparos decaídos puede costar precisión.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Estos modelos son simulables clásicamente y no se afirma ventaja cuántica. El filtro es una manera de hacer válido el entrenamiento sin ruido bajo relajación, con un costo en disparos conocido de antemano. Los modelos se publican como qang.qml (versión 0.6.2, pip install qang).</vt:lpwstr>
  </property>
  <property fmtid="{D5CDD505-2E9C-101B-9397-08002B2CF9AE}" pid="3" name="bibliography">
    <vt:lpwstr>../refs.bib</vt:lpwstr>
  </property>
  <property fmtid="{D5CDD505-2E9C-101B-9397-08002B2CF9AE}" pid="4" name="date">
    <vt:lpwstr>Borrador del 3 de octubre de 2026</vt:lpwstr>
  </property>
  <property fmtid="{D5CDD505-2E9C-101B-9397-08002B2CF9AE}" pid="5" name="link-citations">
    <vt:lpwstr>True</vt:lpwstr>
  </property>
</Properties>
</file>