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0.6.16,</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multiclass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repository’s</w:t>
      </w:r>
      <w:r>
        <w:rPr>
          <w:rFonts w:ascii="Times New Roman" w:hAnsi="Times New Roman"/>
        </w:rPr>
        <w:t xml:space="preserve"> </w:t>
      </w:r>
      <w:r>
        <w:rPr>
          <w:rFonts w:ascii="Times New Roman" w:hAnsi="Times New Roman"/>
        </w:rPr>
        <w:t xml:space="preserve">main</w:t>
      </w:r>
      <w:r>
        <w:rPr>
          <w:rFonts w:ascii="Times New Roman" w:hAnsi="Times New Roman"/>
        </w:rPr>
        <w:t xml:space="preserve"> </w:t>
      </w:r>
      <w:r>
        <w:rPr>
          <w:rFonts w:ascii="Times New Roman" w:hAnsi="Times New Roman"/>
        </w:rPr>
        <w:t xml:space="preserve">branch).</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122 pre-registered predictions in the studies summarized here, 89 passed and 33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8"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6"/>
    <w:bookmarkStart w:id="27"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7"/>
    <w:bookmarkEnd w:id="28"/>
    <w:bookmarkStart w:id="29"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9"/>
    <w:bookmarkStart w:id="42" w:name="results"/>
    <w:p>
      <w:pPr>
        <w:pStyle w:val="Heading1"/>
      </w:pPr>
      <w:r>
        <w:rPr>
          <w:rFonts w:ascii="Times New Roman" w:hAnsi="Times New Roman"/>
        </w:rPr>
        <w:t xml:space="preserve">Results</w:t>
      </w:r>
    </w:p>
    <w:bookmarkStart w:id="30"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w:t>
      </w:r>
    </w:p>
    <w:bookmarkEnd w:id="30"/>
    <w:bookmarkStart w:id="35"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1"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1"/>
    <w:p>
      <w:pPr>
        <w:pStyle w:val="CaptionedFigure"/>
      </w:pPr>
      <w:r>
        <w:rPr>
          <w:rFonts w:ascii="Times New Roman" w:hAnsi="Times New Roman"/>
          <w:sz w:val="18"/>
        </w:rPr>
        <w:drawing>
          <wp:inline>
            <wp:extent cx="4800600" cy="4073236"/>
            <wp:effectExtent b="0" l="0" r="0" t="0"/>
            <wp:docPr descr="" title="" id="33" name="Picture"/>
            <a:graphic>
              <a:graphicData uri="http://schemas.openxmlformats.org/drawingml/2006/picture">
                <pic:pic>
                  <pic:nvPicPr>
                    <pic:cNvPr descr="fig_qml.png" id="34" name="Picture"/>
                    <pic:cNvPicPr>
                      <a:picLocks noChangeArrowheads="1" noChangeAspect="1"/>
                    </pic:cNvPicPr>
                  </pic:nvPicPr>
                  <pic:blipFill>
                    <a:blip r:embed="rId32"/>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5"/>
    <w:bookmarkStart w:id="36"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6"/>
    <w:bookmarkStart w:id="37"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7"/>
    <w:bookmarkStart w:id="38"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p>
    <w:bookmarkEnd w:id="38"/>
    <w:bookmarkStart w:id="39"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39"/>
    <w:bookmarkStart w:id="41"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five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bookmarkStart w:id="40"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bl>
    <w:bookmarkEnd w:id="40"/>
    <w:bookmarkEnd w:id="41"/>
    <w:bookmarkEnd w:id="42"/>
    <w:bookmarkStart w:id="44"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and</w:t>
      </w:r>
      <w:r>
        <w:rPr>
          <w:rFonts w:ascii="Times New Roman" w:hAnsi="Times New Roman"/>
        </w:rPr>
        <w:t xml:space="preserve"> </w:t>
      </w:r>
      <w:r>
        <w:rPr>
          <w:rFonts w:ascii="Times New Roman" w:hAnsi="Times New Roman"/>
        </w:rPr>
        <w:t xml:space="preserve">dephasing are not corrected. On hardware with a large spread of T1 or strong dephasing, the filter</w:t>
      </w:r>
      <w:r>
        <w:rPr>
          <w:rFonts w:ascii="Times New Roman" w:hAnsi="Times New Roman"/>
        </w:rPr>
        <w:t xml:space="preserve"> </w:t>
      </w:r>
      <w:r>
        <w:rPr>
          <w:rFonts w:ascii="Times New Roman" w:hAnsi="Times New Roman"/>
        </w:rPr>
        <w:t xml:space="preserve">complements a noise model and does not replace it.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3"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w:t>
      </w:r>
    </w:p>
    <w:bookmarkEnd w:id="43"/>
    <w:bookmarkEnd w:id="44"/>
    <w:bookmarkStart w:id="58"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0.6.16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main branch;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§104–§113,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(or from GitHub for the multiclass model)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5">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7" w:name="refs"/>
    <w:bookmarkStart w:id="46"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6"/>
    <w:bookmarkStart w:id="47"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7"/>
    <w:bookmarkStart w:id="49"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8">
        <w:r>
          <w:rPr>
            <w:rStyle w:val="Hyperlink"/>
          </w:rPr>
          <w:t xml:space="preserve">https://doi.org/10.22331/q-2022-12-22-881</w:t>
        </w:r>
      </w:hyperlink>
      <w:r>
        <w:rPr>
          <w:rFonts w:ascii="Times New Roman" w:hAnsi="Times New Roman"/>
        </w:rPr>
        <w:t xml:space="preserve">.</w:t>
      </w:r>
    </w:p>
    <w:bookmarkEnd w:id="49"/>
    <w:bookmarkStart w:id="50"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0"/>
    <w:bookmarkStart w:id="52"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1">
        <w:r>
          <w:rPr>
            <w:rStyle w:val="Hyperlink"/>
          </w:rPr>
          <w:t xml:space="preserve">https://doi.org/10.5281/zenodo.22832150</w:t>
        </w:r>
      </w:hyperlink>
      <w:r>
        <w:rPr>
          <w:rFonts w:ascii="Times New Roman" w:hAnsi="Times New Roman"/>
        </w:rPr>
        <w:t xml:space="preserve">.</w:t>
      </w:r>
    </w:p>
    <w:bookmarkEnd w:id="52"/>
    <w:bookmarkStart w:id="54"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3">
        <w:r>
          <w:rPr>
            <w:rStyle w:val="Hyperlink"/>
          </w:rPr>
          <w:t xml:space="preserve">https://doi.org/10.5281/zenodo.23036963</w:t>
        </w:r>
      </w:hyperlink>
      <w:r>
        <w:rPr>
          <w:rFonts w:ascii="Times New Roman" w:hAnsi="Times New Roman"/>
        </w:rPr>
        <w:t xml:space="preserve">.</w:t>
      </w:r>
    </w:p>
    <w:bookmarkEnd w:id="54"/>
    <w:bookmarkStart w:id="56"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5">
        <w:r>
          <w:rPr>
            <w:rStyle w:val="Hyperlink"/>
          </w:rPr>
          <w:t xml:space="preserve">https://doi.org/10.1145/3489517.3530400</w:t>
        </w:r>
      </w:hyperlink>
      <w:r>
        <w:rPr>
          <w:rFonts w:ascii="Times New Roman" w:hAnsi="Times New Roman"/>
        </w:rPr>
        <w:t xml:space="preserve">.</w:t>
      </w:r>
    </w:p>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55" Type="http://schemas.openxmlformats.org/officeDocument/2006/relationships/hyperlink" Target="https://doi.org/10.1145/3489517.3530400" TargetMode="External"/><Relationship Id="rId48" Type="http://schemas.openxmlformats.org/officeDocument/2006/relationships/hyperlink" Target="https://doi.org/10.22331/q-2022-12-22-881" TargetMode="External"/><Relationship Id="rId51" Type="http://schemas.openxmlformats.org/officeDocument/2006/relationships/hyperlink" Target="https://doi.org/10.5281/zenodo.22832150" TargetMode="External"/><Relationship Id="rId53" Type="http://schemas.openxmlformats.org/officeDocument/2006/relationships/hyperlink" Target="https://doi.org/10.5281/zenodo.23036963" TargetMode="External"/><Relationship Id="rId45"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doi.org/10.1145/3489517.3530400" TargetMode="External"/><Relationship Id="rId48" Type="http://schemas.openxmlformats.org/officeDocument/2006/relationships/hyperlink" Target="https://doi.org/10.22331/q-2022-12-22-881" TargetMode="External"/><Relationship Id="rId51" Type="http://schemas.openxmlformats.org/officeDocument/2006/relationships/hyperlink" Target="https://doi.org/10.5281/zenodo.22832150" TargetMode="External"/><Relationship Id="rId53" Type="http://schemas.openxmlformats.org/officeDocument/2006/relationships/hyperlink" Target="https://doi.org/10.5281/zenodo.23036963" TargetMode="External"/><Relationship Id="rId45"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2026-10-05T15:17:24Z</dcterms:created>
  <dcterms:modified xsi:type="dcterms:W3CDTF">2026-10-05T15:17:24Z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corrects neither dephasing nor unequal T1 across qubits, although alone it loses less than one point up to a \pm80\% spread of 1/T_1.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These models are classically simulable and no quantum advantage is claimed. The filter is a way to make noise-free training valid under relaxation, at a shot cost known in advance. The models are released as qang.qml (version 0.6.16, pip install qang; the multiclass model is on the repository’s main branch).</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