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less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richer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discarding</w:t>
      </w:r>
      <w:r>
        <w:rPr>
          <w:rFonts w:ascii="Times New Roman" w:hAnsi="Times New Roman"/>
        </w:rPr>
        <w:t xml:space="preserve"> </w:t>
      </w:r>
      <w:r>
        <w:rPr>
          <w:rFonts w:ascii="Times New Roman" w:hAnsi="Times New Roman"/>
        </w:rPr>
        <w:t xml:space="preserve">decayed</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comes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pair-product</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0.6.0,</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44</w:t>
      </w:r>
      <w:r>
        <w:rPr>
          <w:rFonts w:ascii="Times New Roman" w:hAnsi="Times New Roman"/>
        </w:rPr>
        <w:t xml:space="preserve"> </w:t>
      </w:r>
      <w:r>
        <w:rPr>
          <w:rFonts w:ascii="Times New Roman" w:hAnsi="Times New Roman"/>
        </w:rPr>
        <w:t xml:space="preserve">pre-registered predictions in the studies summarized here, 33 passed and 11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27"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26"/>
    <w:bookmarkEnd w:id="27"/>
    <w:bookmarkStart w:id="28"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8"/>
    <w:bookmarkStart w:id="37" w:name="results"/>
    <w:p>
      <w:pPr>
        <w:pStyle w:val="Heading1"/>
      </w:pPr>
      <w:r>
        <w:rPr>
          <w:rFonts w:ascii="Times New Roman" w:hAnsi="Times New Roman"/>
        </w:rPr>
        <w:t xml:space="preserve">Results</w:t>
      </w:r>
    </w:p>
    <w:bookmarkStart w:id="29"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p>
      <w:pPr>
        <w:numPr>
          <w:ilvl w:val="0"/>
          <w:numId w:val="1001"/>
        </w:numPr>
      </w:pPr>
      <w:r>
        <w:rPr>
          <w:rFonts w:ascii="Times New Roman" w:hAnsi="Times New Roman"/>
        </w:rPr>
        <w:t xml:space="preserve">in the studies of Sec. </w:t>
      </w:r>
      <w:hyperlink w:anchor="sec:more">
        <w:r>
          <w:rPr>
            <w:rStyle w:val="Hyperlink"/>
          </w:rPr>
          <w:t xml:space="preserve">4.0.0.3</w:t>
        </w:r>
      </w:hyperlink>
      <w:r>
        <w:rPr>
          <w:rFonts w:ascii="Times New Roman" w:hAnsi="Times New Roman"/>
        </w:rPr>
        <w:t xml:space="preserve">: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did not help weight 2 (two</w:t>
      </w:r>
      <w:r>
        <w:rPr>
          <w:rFonts w:ascii="Times New Roman" w:hAnsi="Times New Roman"/>
        </w:rPr>
        <w:t xml:space="preserve"> </w:t>
      </w:r>
      <w:r>
        <w:rPr>
          <w:rFonts w:ascii="Times New Roman" w:hAnsi="Times New Roman"/>
        </w:rPr>
        <w:t xml:space="preserve">predictions), the filter was not neutral under noise-aware training with that readout, the gain of the</w:t>
      </w:r>
      <w:r>
        <w:rPr>
          <w:rFonts w:ascii="Times New Roman" w:hAnsi="Times New Roman"/>
        </w:rPr>
        <w:t xml:space="preserve"> </w:t>
      </w:r>
      <w:r>
        <w:rPr>
          <w:rFonts w:ascii="Times New Roman" w:hAnsi="Times New Roman"/>
        </w:rPr>
        <w:t xml:space="preserve">filter at one T1 spread had a CI touching zero, weight 2 was not more sensitive to the spread than</w:t>
      </w:r>
      <w:r>
        <w:rPr>
          <w:rFonts w:ascii="Times New Roman" w:hAnsi="Times New Roman"/>
        </w:rPr>
        <w:t xml:space="preserve"> </w:t>
      </w:r>
      <w:r>
        <w:rPr>
          <w:rFonts w:ascii="Times New Roman" w:hAnsi="Times New Roman"/>
        </w:rPr>
        <w:t xml:space="preserve">weight 1, and the pair-product encoding had a lower information ceiling than the unary one.</w:t>
      </w:r>
    </w:p>
    <w:bookmarkEnd w:id="29"/>
    <w:bookmarkStart w:id="34"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0"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0"/>
    <w:p>
      <w:pPr>
        <w:pStyle w:val="CaptionedFigure"/>
      </w:pPr>
      <w:r>
        <w:rPr>
          <w:rFonts w:ascii="Times New Roman" w:hAnsi="Times New Roman"/>
          <w:sz w:val="18"/>
        </w:rPr>
        <w:drawing>
          <wp:inline>
            <wp:extent cx="4800600" cy="4073236"/>
            <wp:effectExtent b="0" l="0" r="0" t="0"/>
            <wp:docPr descr="" title="" id="32" name="Picture"/>
            <a:graphic>
              <a:graphicData uri="http://schemas.openxmlformats.org/drawingml/2006/picture">
                <pic:pic>
                  <pic:nvPicPr>
                    <pic:cNvPr descr="fig_qml.png" id="33" name="Picture"/>
                    <pic:cNvPicPr>
                      <a:picLocks noChangeArrowheads="1" noChangeAspect="1"/>
                    </pic:cNvPicPr>
                  </pic:nvPicPr>
                  <pic:blipFill>
                    <a:blip r:embed="rId31"/>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4"/>
    <w:bookmarkStart w:id="35" w:name="sec:more"/>
    <w:p>
      <w:pPr>
        <w:pStyle w:val="Heading4"/>
      </w:pPr>
      <w:r>
        <w:rPr>
          <w:rFonts w:ascii="Times New Roman" w:hAnsi="Times New Roman"/>
        </w:rPr>
        <w:t xml:space="preserve">Readout, encoding and T1 spread (60 runs each).</w:t>
      </w:r>
    </w:p>
    <w:p>
      <w:pPr>
        <w:numPr>
          <w:ilvl w:val="0"/>
          <w:numId w:val="1003"/>
        </w:numPr>
      </w:pPr>
      <w:r>
        <w:rPr>
          <w:iCs/>
          <w:rFonts w:ascii="Times New Roman" w:hAnsi="Times New Roman"/>
          <w:i/>
        </w:rPr>
        <w:t xml:space="preserve">Correlation readout.</w:t>
      </w:r>
      <w:r>
        <w:rPr>
          <w:rFonts w:ascii="Times New Roman" w:hAnsi="Times New Roman"/>
        </w:rPr>
        <w:t xml:space="preserve"> </w:t>
      </w:r>
      <w:r>
        <w:rPr>
          <w:rFonts w:ascii="Times New Roman" w:hAnsi="Times New Roman"/>
        </w:rPr>
        <w:t xml:space="preserve">Adding the</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correlations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makes the</w:t>
      </w:r>
      <w:r>
        <w:rPr>
          <w:rFonts w:ascii="Times New Roman" w:hAnsi="Times New Roman"/>
        </w:rPr>
        <w:t xml:space="preserve"> </w:t>
      </w:r>
      <w:r>
        <w:rPr>
          <w:rFonts w:ascii="Times New Roman" w:hAnsi="Times New Roman"/>
        </w:rPr>
        <w:t xml:space="preserve">weight-2 readout a linear function of the whole sector distribution (rank 10 instead of 5). It did not</w:t>
      </w:r>
      <w:r>
        <w:rPr>
          <w:rFonts w:ascii="Times New Roman" w:hAnsi="Times New Roman"/>
        </w:rPr>
        <w:t xml:space="preserve"> </w:t>
      </w:r>
      <w:r>
        <w:rPr>
          <w:rFonts w:ascii="Times New Roman" w:hAnsi="Times New Roman"/>
        </w:rPr>
        <w:t xml:space="preserve">help:</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points. Trained under T1 with 15 readout weights, the model</w:t>
      </w:r>
      <w:r>
        <w:rPr>
          <w:rFonts w:ascii="Times New Roman" w:hAnsi="Times New Roman"/>
        </w:rPr>
        <w:t xml:space="preserve"> </w:t>
      </w:r>
      <w:r>
        <w:rPr>
          <w:iCs/>
          <w:rFonts w:ascii="Times New Roman" w:hAnsi="Times New Roman"/>
          <w:i/>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points better. The decayed shots still carry information about where the</w:t>
      </w:r>
      <w:r>
        <w:rPr>
          <w:rFonts w:ascii="Times New Roman" w:hAnsi="Times New Roman"/>
        </w:rPr>
        <w:t xml:space="preserve"> </w:t>
      </w:r>
      <w:r>
        <w:rPr>
          <w:rFonts w:ascii="Times New Roman" w:hAnsi="Times New Roman"/>
        </w:rPr>
        <w:t xml:space="preserve">excitations were, and the filter discards it. The filter is still exact for this readout, and trained</w:t>
      </w:r>
      <w:r>
        <w:rPr>
          <w:rFonts w:ascii="Times New Roman" w:hAnsi="Times New Roman"/>
        </w:rPr>
        <w:t xml:space="preserve"> </w:t>
      </w:r>
      <w:r>
        <w:rPr>
          <w:rFonts w:ascii="Times New Roman" w:hAnsi="Times New Roman"/>
        </w:rPr>
        <w:t xml:space="preserve">without noise it adds</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Encoding.</w:t>
      </w:r>
      <w:r>
        <w:rPr>
          <w:rFonts w:ascii="Times New Roman" w:hAnsi="Times New Roman"/>
        </w:rPr>
        <w:t xml:space="preserve"> </w:t>
      </w:r>
      <w:r>
        <w:rPr>
          <w:rFonts w:ascii="Times New Roman" w:hAnsi="Times New Roman"/>
        </w:rPr>
        <w:t xml:space="preserve">The best unconstrained quadratic form in the pair-product amplitudes reaches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points below the same ceiling for the unary amplitudes (0.952). The normalization of the</w:t>
      </w:r>
      <w:r>
        <w:rPr>
          <w:rFonts w:ascii="Times New Roman" w:hAnsi="Times New Roman"/>
        </w:rPr>
        <w:t xml:space="preserve"> </w:t>
      </w:r>
      <w:r>
        <w:rPr>
          <w:rFonts w:ascii="Times New Roman" w:hAnsi="Times New Roman"/>
        </w:rPr>
        <w:t xml:space="preserve">products distorts the data. Loading the weight-1 data on five weight-2 states instead (a</w:t>
      </w:r>
      <w:r>
        <w:rPr>
          <w:rFonts w:ascii="Times New Roman" w:hAnsi="Times New Roman"/>
        </w:rPr>
        <w:t xml:space="preserve"> </w:t>
      </w:r>
      <w:r>
        <w:rPr>
          <w:rFonts w:ascii="Times New Roman" w:hAnsi="Times New Roman"/>
        </w:rPr>
        <w:t xml:space="preserve">“</w:t>
      </w:r>
      <w:r>
        <w:rPr>
          <w:rFonts w:ascii="Times New Roman" w:hAnsi="Times New Roman"/>
        </w:rPr>
        <w:t xml:space="preserve">ring</w:t>
      </w:r>
      <w:r>
        <w:rPr>
          <w:rFonts w:ascii="Times New Roman" w:hAnsi="Times New Roman"/>
        </w:rPr>
        <w:t xml:space="preserv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pairs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gives 0.943, within</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point of weight 1 and</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points above the pairs.</w:t>
      </w:r>
      <w:r>
        <w:rPr>
          <w:rFonts w:ascii="Times New Roman" w:hAnsi="Times New Roman"/>
        </w:rPr>
        <w:t xml:space="preserve"> </w:t>
      </w:r>
      <w:r>
        <w:rPr>
          <w:rFonts w:ascii="Times New Roman" w:hAnsi="Times New Roman"/>
        </w:rPr>
        <w:t xml:space="preserve">With this encoding the gain of the filter under T1 is the largest seen,</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T1 spread.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spread over</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the loss of 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points (weight 1/2) at</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s</m:t>
        </m:r>
        <m:r>
          <m:rPr>
            <m:sty m:val="p"/>
          </m:rPr>
          <m:t>=</m:t>
        </m:r>
        <m:r>
          <m:t>1</m:t>
        </m:r>
      </m:oMath>
      <w:r>
        <w:rPr>
          <w:rFonts w:ascii="Times New Roman" w:hAnsi="Times New Roman"/>
        </w:rPr>
        <w:t xml:space="preserve">. The filter alone keeps the loss</w:t>
      </w:r>
      <w:r>
        <w:rPr>
          <w:rFonts w:ascii="Times New Roman" w:hAnsi="Times New Roman"/>
        </w:rPr>
        <w:t xml:space="preserve"> </w:t>
      </w:r>
      <w:r>
        <w:rPr>
          <w:rFonts w:ascii="Times New Roman" w:hAnsi="Times New Roman"/>
        </w:rPr>
        <w:t xml:space="preserve">below one point up to about</w:t>
      </w:r>
      <w:r>
        <w:rPr>
          <w:rFonts w:ascii="Times New Roman" w:hAnsi="Times New Roman"/>
        </w:rPr>
        <w:t xml:space="preserve"> </w:t>
      </w:r>
      <m:oMath>
        <m:r>
          <m:t>s</m:t>
        </m:r>
        <m:r>
          <m:rPr>
            <m:sty m:val="p"/>
          </m:rPr>
          <m:t>≈</m:t>
        </m:r>
        <m:r>
          <m:t>0.8</m:t>
        </m:r>
      </m:oMath>
      <w:r>
        <w:rPr>
          <w:rFonts w:ascii="Times New Roman" w:hAnsi="Times New Roman"/>
        </w:rPr>
        <w:t xml:space="preserve">, i.e.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 the decay rates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around their</w:t>
      </w:r>
      <w:r>
        <w:rPr>
          <w:rFonts w:ascii="Times New Roman" w:hAnsi="Times New Roman"/>
        </w:rPr>
        <w:t xml:space="preserve"> </w:t>
      </w:r>
      <w:r>
        <w:rPr>
          <w:rFonts w:ascii="Times New Roman" w:hAnsi="Times New Roman"/>
        </w:rPr>
        <w:t xml:space="preserve">mean.</w:t>
      </w:r>
    </w:p>
    <w:bookmarkEnd w:id="35"/>
    <w:bookmarkStart w:id="36" w:name="device-noise-models."/>
    <w:p>
      <w:pPr>
        <w:pStyle w:val="Heading4"/>
      </w:pPr>
      <w:r>
        <w:rPr>
          <w:rFonts w:ascii="Times New Roman" w:hAnsi="Times New Roman"/>
        </w:rPr>
        <w:t xml:space="preserve">Device noise models.</w:t>
      </w:r>
    </w:p>
    <w:p>
      <w:pPr>
        <w:pStyle w:val="FirstParagraph"/>
      </w:pPr>
      <w:r>
        <w:rPr>
          <w:rFonts w:ascii="Times New Roman" w:hAnsi="Times New Roman"/>
        </w:rPr>
        <w:t xml:space="preserve">The weight-1 model was compiled to Qiskit (a cascade of 4 RBS gates loads</w:t>
      </w:r>
      <w:r>
        <w:rPr>
          <w:rFonts w:ascii="Times New Roman" w:hAnsi="Times New Roman"/>
        </w:rPr>
        <w:t xml:space="preserve"> </w:t>
      </w:r>
      <w:r>
        <w:rPr>
          <w:rFonts w:ascii="Times New Roman" w:hAnsi="Times New Roman"/>
        </w:rPr>
        <w:t xml:space="preserve">the signed unary amplitudes; 15 trained RBS gates follow; the circuit matches the model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It</w:t>
      </w:r>
      <w:r>
        <w:rPr>
          <w:rFonts w:ascii="Times New Roman" w:hAnsi="Times New Roman"/>
        </w:rPr>
        <w:t xml:space="preserve"> </w:t>
      </w:r>
      <w:r>
        <w:rPr>
          <w:rFonts w:ascii="Times New Roman" w:hAnsi="Times New Roman"/>
        </w:rPr>
        <w:t xml:space="preserve">was run on 30 iris test inputs with 1000 shots each, read with and without the filter from the same shots.</w:t>
      </w:r>
      <w:r>
        <w:rPr>
          <w:rFonts w:ascii="Times New Roman" w:hAnsi="Times New Roman"/>
        </w:rPr>
        <w:t xml:space="preserve"> </w:t>
      </w:r>
      <w:r>
        <w:rPr>
          <w:rFonts w:ascii="Times New Roman" w:hAnsi="Times New Roman"/>
        </w:rPr>
        <w:t xml:space="preserve">The noise models were those of three IBM devices (calibration-based fake backends simulated by Aer) and</w:t>
      </w:r>
      <w:r>
        <w:rPr>
          <w:rFonts w:ascii="Times New Roman" w:hAnsi="Times New Roman"/>
        </w:rPr>
        <w:t xml:space="preserve"> </w:t>
      </w:r>
      <w:r>
        <w:rPr>
          <w:rFonts w:ascii="Times New Roman" w:hAnsi="Times New Roman"/>
        </w:rPr>
        <w:t xml:space="preserve">the IonQ cloud simulator with the Aria-1 and Forte-1 noise models. On all five the accuracy was 0.933 with</w:t>
      </w:r>
      <w:r>
        <w:rPr>
          <w:rFonts w:ascii="Times New Roman" w:hAnsi="Times New Roman"/>
        </w:rPr>
        <w:t xml:space="preserve"> </w:t>
      </w:r>
      <w:r>
        <w:rPr>
          <w:rFonts w:ascii="Times New Roman" w:hAnsi="Times New Roman"/>
        </w:rPr>
        <w:t xml:space="preserve">and without the filter, equal to the noiseless accuracy: the margins of this model are wide. The error of</w:t>
      </w:r>
      <w:r>
        <w:rPr>
          <w:rFonts w:ascii="Times New Roman" w:hAnsi="Times New Roman"/>
        </w:rPr>
        <w:t xml:space="preserve"> </w:t>
      </w:r>
      <w:r>
        <w:rPr>
          <w:rFonts w:ascii="Times New Roman" w:hAnsi="Times New Roman"/>
        </w:rPr>
        <w:t xml:space="preserve">the 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fell from 0.138–0.206 without the filter to 0.040–0.072 with it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keeping 69–74% of the shots. These are noise models, not devices; the hardware runs are prepared, with</w:t>
      </w:r>
      <w:r>
        <w:rPr>
          <w:rFonts w:ascii="Times New Roman" w:hAnsi="Times New Roman"/>
        </w:rPr>
        <w:t xml:space="preserve"> </w:t>
      </w:r>
      <w:r>
        <w:rPr>
          <w:rFonts w:ascii="Times New Roman" w:hAnsi="Times New Roman"/>
        </w:rPr>
        <w:t xml:space="preserve">cost confirmations, and pending.</w:t>
      </w:r>
    </w:p>
    <w:bookmarkEnd w:id="36"/>
    <w:bookmarkEnd w:id="37"/>
    <w:bookmarkStart w:id="39"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Unequal T1 and</w:t>
      </w:r>
      <w:r>
        <w:rPr>
          <w:rFonts w:ascii="Times New Roman" w:hAnsi="Times New Roman"/>
        </w:rPr>
        <w:t xml:space="preserve"> </w:t>
      </w:r>
      <w:r>
        <w:rPr>
          <w:rFonts w:ascii="Times New Roman" w:hAnsi="Times New Roman"/>
        </w:rPr>
        <w:t xml:space="preserve">dephasing are not corrected. On hardware with a large spread of T1 or strong dephasing, the filter</w:t>
      </w:r>
      <w:r>
        <w:rPr>
          <w:rFonts w:ascii="Times New Roman" w:hAnsi="Times New Roman"/>
        </w:rPr>
        <w:t xml:space="preserve"> </w:t>
      </w:r>
      <w:r>
        <w:rPr>
          <w:rFonts w:ascii="Times New Roman" w:hAnsi="Times New Roman"/>
        </w:rPr>
        <w:t xml:space="preserve">complements a noise model and does not replace it. Two practical rules follow from the studies above. Up</w:t>
      </w:r>
      <w:r>
        <w:rPr>
          <w:rFonts w:ascii="Times New Roman" w:hAnsi="Times New Roman"/>
        </w:rPr>
        <w:t xml:space="preserve"> </w:t>
      </w:r>
      <w:r>
        <w:rPr>
          <w:rFonts w:ascii="Times New Roman" w:hAnsi="Times New Roman"/>
        </w:rPr>
        <w:t xml:space="preserve">to about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across qubits, a network trained on a simulator can be run with the</w:t>
      </w:r>
      <w:r>
        <w:rPr>
          <w:rFonts w:ascii="Times New Roman" w:hAnsi="Times New Roman"/>
        </w:rPr>
        <w:t xml:space="preserve"> </w:t>
      </w:r>
      <w:r>
        <w:rPr>
          <w:rFonts w:ascii="Times New Roman" w:hAnsi="Times New Roman"/>
        </w:rPr>
        <w:t xml:space="preserve">filter alone, losing less than one point. When the network is instead trained under the calibrated noise,</w:t>
      </w:r>
      <w:r>
        <w:rPr>
          <w:rFonts w:ascii="Times New Roman" w:hAnsi="Times New Roman"/>
        </w:rPr>
        <w:t xml:space="preserve"> </w:t>
      </w:r>
      <w:r>
        <w:rPr>
          <w:rFonts w:ascii="Times New Roman" w:hAnsi="Times New Roman"/>
        </w:rPr>
        <w:t xml:space="preserve">and especially when its readout has many parameters, the decayed shots are useful data, and the filter can</w:t>
      </w:r>
      <w:r>
        <w:rPr>
          <w:rFonts w:ascii="Times New Roman" w:hAnsi="Times New Roman"/>
        </w:rPr>
        <w:t xml:space="preserve"> </w:t>
      </w:r>
      <w:r>
        <w:rPr>
          <w:rFonts w:ascii="Times New Roman" w:hAnsi="Times New Roman"/>
        </w:rPr>
        <w:t xml:space="preserve">cost about a point. For weight-2 models, how the data are loaded matters more than what is read out.</w:t>
      </w:r>
    </w:p>
    <w:bookmarkStart w:id="38"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There is one</w:t>
      </w:r>
      <w:r>
        <w:rPr>
          <w:rFonts w:ascii="Times New Roman" w:hAnsi="Times New Roman"/>
        </w:rPr>
        <w:t xml:space="preserve"> </w:t>
      </w:r>
      <w:r>
        <w:rPr>
          <w:rFonts w:ascii="Times New Roman" w:hAnsi="Times New Roman"/>
        </w:rPr>
        <w:t xml:space="preserve">architecture per weight, five qubits, and small datasets in which one test sample is worth 2–3 points. The</w:t>
      </w:r>
      <w:r>
        <w:rPr>
          <w:rFonts w:ascii="Times New Roman" w:hAnsi="Times New Roman"/>
        </w:rPr>
        <w:t xml:space="preserve"> </w:t>
      </w:r>
      <w:r>
        <w:rPr>
          <w:rFonts w:ascii="Times New Roman" w:hAnsi="Times New Roman"/>
        </w:rPr>
        <w:t xml:space="preserve">ring encoding uses only five of the ten weight-2 states, so a better use of the larger sector is still open.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w:t>
      </w:r>
    </w:p>
    <w:bookmarkEnd w:id="38"/>
    <w:bookmarkEnd w:id="39"/>
    <w:bookmarkStart w:id="53"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0.6.0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(weights 1 and 2, readouts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encodings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 Hardware-ready script:</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and IonQ).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§75–§82, §85 and §87,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Repository:</w:t>
      </w:r>
      <w:r>
        <w:rPr>
          <w:rFonts w:ascii="Times New Roman" w:hAnsi="Times New Roman"/>
        </w:rPr>
        <w:t xml:space="preserve"> </w:t>
      </w:r>
      <w:hyperlink r:id="rId40">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52" w:name="refs"/>
    <w:bookmarkStart w:id="41"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1"/>
    <w:bookmarkStart w:id="42"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2"/>
    <w:bookmarkStart w:id="44"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3">
        <w:r>
          <w:rPr>
            <w:rStyle w:val="Hyperlink"/>
          </w:rPr>
          <w:t xml:space="preserve">https://doi.org/10.22331/q-2022-12-22-881</w:t>
        </w:r>
      </w:hyperlink>
      <w:r>
        <w:rPr>
          <w:rFonts w:ascii="Times New Roman" w:hAnsi="Times New Roman"/>
        </w:rPr>
        <w:t xml:space="preserve">.</w:t>
      </w:r>
    </w:p>
    <w:bookmarkEnd w:id="44"/>
    <w:bookmarkStart w:id="45"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5"/>
    <w:bookmarkStart w:id="47"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6">
        <w:r>
          <w:rPr>
            <w:rStyle w:val="Hyperlink"/>
          </w:rPr>
          <w:t xml:space="preserve">https://doi.org/10.5281/zenodo.22832150</w:t>
        </w:r>
      </w:hyperlink>
      <w:r>
        <w:rPr>
          <w:rFonts w:ascii="Times New Roman" w:hAnsi="Times New Roman"/>
        </w:rPr>
        <w:t xml:space="preserve">.</w:t>
      </w:r>
    </w:p>
    <w:bookmarkEnd w:id="47"/>
    <w:bookmarkStart w:id="49"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48">
        <w:r>
          <w:rPr>
            <w:rStyle w:val="Hyperlink"/>
          </w:rPr>
          <w:t xml:space="preserve">https://doi.org/10.5281/zenodo.23036963</w:t>
        </w:r>
      </w:hyperlink>
      <w:r>
        <w:rPr>
          <w:rFonts w:ascii="Times New Roman" w:hAnsi="Times New Roman"/>
        </w:rPr>
        <w:t xml:space="preserve">.</w:t>
      </w:r>
    </w:p>
    <w:bookmarkEnd w:id="49"/>
    <w:bookmarkStart w:id="51"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0">
        <w:r>
          <w:rPr>
            <w:rStyle w:val="Hyperlink"/>
          </w:rPr>
          <w:t xml:space="preserve">https://doi.org/10.1145/3489517.3530400</w:t>
        </w:r>
      </w:hyperlink>
      <w:r>
        <w:rPr>
          <w:rFonts w:ascii="Times New Roman" w:hAnsi="Times New Roman"/>
        </w:rPr>
        <w:t xml:space="preserve">.</w:t>
      </w:r>
    </w:p>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50" Type="http://schemas.openxmlformats.org/officeDocument/2006/relationships/hyperlink" Target="https://doi.org/10.1145/3489517.3530400" TargetMode="External"/><Relationship Id="rId43" Type="http://schemas.openxmlformats.org/officeDocument/2006/relationships/hyperlink" Target="https://doi.org/10.22331/q-2022-12-22-881" TargetMode="External"/><Relationship Id="rId46" Type="http://schemas.openxmlformats.org/officeDocument/2006/relationships/hyperlink" Target="https://doi.org/10.5281/zenodo.22832150" TargetMode="External"/><Relationship Id="rId48" Type="http://schemas.openxmlformats.org/officeDocument/2006/relationships/hyperlink" Target="https://doi.org/10.5281/zenodo.23036963" TargetMode="External"/><Relationship Id="rId40"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145/3489517.3530400" TargetMode="External"/><Relationship Id="rId43" Type="http://schemas.openxmlformats.org/officeDocument/2006/relationships/hyperlink" Target="https://doi.org/10.22331/q-2022-12-22-881" TargetMode="External"/><Relationship Id="rId46" Type="http://schemas.openxmlformats.org/officeDocument/2006/relationships/hyperlink" Target="https://doi.org/10.5281/zenodo.22832150" TargetMode="External"/><Relationship Id="rId48" Type="http://schemas.openxmlformats.org/officeDocument/2006/relationships/hyperlink" Target="https://doi.org/10.5281/zenodo.23036963" TargetMode="External"/><Relationship Id="rId40"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2026-10-03T15:16:28Z</dcterms:created>
  <dcterms:modified xsi:type="dcterms:W3CDTF">2026-10-03T15:16:28Z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corrects neither dephasing nor unequal T1 across qubits, although alone it loses less than one point up to a \pm80\% spread of 1/T_1. With noise-aware training and a richer readout, the model without the filter is 1.2 points better: discarding decayed shots can cost accuracy. The weight-2 deficit comes from the pair-product encoding, not from the readout. On noise models of IBM and IonQ devices the filter cuts the error of the measured qg_Z by 2.9–3.6\times. These models are classically simulable and no quantum advantage is claimed. The filter is a way to make noise-free training valid under relaxation, at a shot cost known in advance. The models are released as qang.qml (version 0.6.0, pip install qang).</vt:lpwstr>
  </property>
  <property fmtid="{D5CDD505-2E9C-101B-9397-08002B2CF9AE}" pid="3" name="bibliography">
    <vt:lpwstr>../refs.bib</vt:lpwstr>
  </property>
  <property fmtid="{D5CDD505-2E9C-101B-9397-08002B2CF9AE}" pid="4" name="date">
    <vt:lpwstr>Draft of 3 October 2026</vt:lpwstr>
  </property>
  <property fmtid="{D5CDD505-2E9C-101B-9397-08002B2CF9AE}" pid="5" name="link-citations">
    <vt:lpwstr>True</vt:lpwstr>
  </property>
</Properties>
</file>