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descartar</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decaídos</w:t>
      </w:r>
      <w:r>
        <w:rPr>
          <w:rFonts w:ascii="Times New Roman" w:hAnsi="Times New Roman"/>
        </w:rPr>
        <w:t xml:space="preserve"> </w:t>
      </w:r>
      <w:r>
        <w:rPr>
          <w:rFonts w:ascii="Times New Roman" w:hAnsi="Times New Roman"/>
        </w:rPr>
        <w:t xml:space="preserve">puede</w:t>
      </w:r>
      <w:r>
        <w:rPr>
          <w:rFonts w:ascii="Times New Roman" w:hAnsi="Times New Roman"/>
        </w:rPr>
        <w:t xml:space="preserve"> </w:t>
      </w:r>
      <w:r>
        <w:rPr>
          <w:rFonts w:ascii="Times New Roman" w:hAnsi="Times New Roman"/>
        </w:rPr>
        <w:t xml:space="preserve">costar</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0.6.0,</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44 predicciones pre-registradas en los estudios que se resumen aquí, 33 se cumplieron y 11 fallaron; las</w:t>
      </w:r>
      <w:r>
        <w:rPr>
          <w:rFonts w:ascii="Times New Roman" w:hAnsi="Times New Roman"/>
        </w:rPr>
        <w:t xml:space="preserve"> </w:t>
      </w:r>
      <w:r>
        <w:rPr>
          <w:rFonts w:ascii="Times New Roman" w:hAnsi="Times New Roman"/>
        </w:rPr>
        <w:t xml:space="preserve">fallas se reportan junto a los aciertos.</w:t>
      </w:r>
    </w:p>
    <w:bookmarkEnd w:id="20"/>
    <w:bookmarkStart w:id="27"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6"/>
    <w:bookmarkEnd w:id="27"/>
    <w:bookmarkStart w:id="28"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7" w:name="resultados"/>
    <w:p>
      <w:pPr>
        <w:pStyle w:val="Heading1"/>
      </w:pPr>
      <w:r>
        <w:rPr>
          <w:rFonts w:ascii="Times New Roman" w:hAnsi="Times New Roman"/>
        </w:rPr>
        <w:t xml:space="preserve">Resultados</w:t>
      </w:r>
    </w:p>
    <w:bookmarkStart w:id="29"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y la codificación por productos de pares tuvo un techo de información menor que la unaria.</w:t>
      </w:r>
    </w:p>
    <w:bookmarkEnd w:id="29"/>
    <w:bookmarkStart w:id="34"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0"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fig_qml_es.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4"/>
    <w:bookmarkStart w:id="35"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5"/>
    <w:bookmarkStart w:id="36"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0.138–0.206 sin filtro a 0.040–0.072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Son modelos de ruido, no equipos; las corridas en</w:t>
      </w:r>
      <w:r>
        <w:rPr>
          <w:rFonts w:ascii="Times New Roman" w:hAnsi="Times New Roman"/>
        </w:rPr>
        <w:t xml:space="preserve"> </w:t>
      </w:r>
      <w:r>
        <w:rPr>
          <w:rFonts w:ascii="Times New Roman" w:hAnsi="Times New Roman"/>
        </w:rPr>
        <w:t xml:space="preserve">hardware están preparadas, con confirmación de costo, y pendientes.</w:t>
      </w:r>
    </w:p>
    <w:bookmarkEnd w:id="36"/>
    <w:bookmarkEnd w:id="37"/>
    <w:bookmarkStart w:id="39"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y el desfase no se corrigen. En hardware con mucha dispersión de T1 o desfase fuerte, el filtro</w:t>
      </w:r>
      <w:r>
        <w:rPr>
          <w:rFonts w:ascii="Times New Roman" w:hAnsi="Times New Roman"/>
        </w:rPr>
        <w:t xml:space="preserve"> </w:t>
      </w:r>
      <w:r>
        <w:rPr>
          <w:rFonts w:ascii="Times New Roman" w:hAnsi="Times New Roman"/>
        </w:rPr>
        <w:t xml:space="preserve">complementa un modelo de ruido y no lo reemplaza.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y</w:t>
      </w:r>
      <w:r>
        <w:rPr>
          <w:rFonts w:ascii="Times New Roman" w:hAnsi="Times New Roman"/>
        </w:rPr>
        <w:t xml:space="preserve"> </w:t>
      </w:r>
      <w:r>
        <w:rPr>
          <w:rFonts w:ascii="Times New Roman" w:hAnsi="Times New Roman"/>
        </w:rPr>
        <w:t xml:space="preserve">sobre todo si su lectura tiene muchos parámetros, los disparos decaídos son datos útiles y el filtro puede</w:t>
      </w:r>
      <w:r>
        <w:rPr>
          <w:rFonts w:ascii="Times New Roman" w:hAnsi="Times New Roman"/>
        </w:rPr>
        <w:t xml:space="preserve"> </w:t>
      </w:r>
      <w:r>
        <w:rPr>
          <w:rFonts w:ascii="Times New Roman" w:hAnsi="Times New Roman"/>
        </w:rPr>
        <w:t xml:space="preserve">costar alrededor de un punto. Para modelos de peso 2, importa más cómo se cargan los datos que qué se lee.</w:t>
      </w:r>
    </w:p>
    <w:bookmarkStart w:id="38"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cinco qubits y conjuntos pequeños en los que una muestra de prueba vale 2–3 puntos. La</w:t>
      </w:r>
      <w:r>
        <w:rPr>
          <w:rFonts w:ascii="Times New Roman" w:hAnsi="Times New Roman"/>
        </w:rPr>
        <w:t xml:space="preserve"> </w:t>
      </w:r>
      <w:r>
        <w:rPr>
          <w:rFonts w:ascii="Times New Roman" w:hAnsi="Times New Roman"/>
        </w:rPr>
        <w:t xml:space="preserve">codificación en anillo usa solo cinco de los diez estados de peso 2, así que un mejor uso del sector más grande</w:t>
      </w:r>
      <w:r>
        <w:rPr>
          <w:rFonts w:ascii="Times New Roman" w:hAnsi="Times New Roman"/>
        </w:rPr>
        <w:t xml:space="preserve"> </w:t>
      </w:r>
      <w:r>
        <w:rPr>
          <w:rFonts w:ascii="Times New Roman" w:hAnsi="Times New Roman"/>
        </w:rPr>
        <w:t xml:space="preserve">sigue abierto.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w:t>
      </w:r>
    </w:p>
    <w:bookmarkEnd w:id="38"/>
    <w:bookmarkEnd w:id="39"/>
    <w:bookmarkStart w:id="53"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0.6.0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y §87,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Repositorio:</w:t>
      </w:r>
      <w:r>
        <w:rPr>
          <w:rFonts w:ascii="Times New Roman" w:hAnsi="Times New Roman"/>
        </w:rPr>
        <w:t xml:space="preserve"> </w:t>
      </w:r>
      <w:hyperlink r:id="rId40">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2" w:name="refs"/>
    <w:bookmarkStart w:id="4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1"/>
    <w:bookmarkStart w:id="42"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2"/>
    <w:bookmarkStart w:id="44"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3">
        <w:r>
          <w:rPr>
            <w:rStyle w:val="Hyperlink"/>
          </w:rPr>
          <w:t xml:space="preserve">https://doi.org/10.22331/q-2022-12-22-881</w:t>
        </w:r>
      </w:hyperlink>
      <w:r>
        <w:rPr>
          <w:rFonts w:ascii="Times New Roman" w:hAnsi="Times New Roman"/>
        </w:rPr>
        <w:t xml:space="preserve">.</w:t>
      </w:r>
    </w:p>
    <w:bookmarkEnd w:id="44"/>
    <w:bookmarkStart w:id="45"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5"/>
    <w:bookmarkStart w:id="47"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6">
        <w:r>
          <w:rPr>
            <w:rStyle w:val="Hyperlink"/>
          </w:rPr>
          <w:t xml:space="preserve">https://doi.org/10.5281/zenodo.22832150</w:t>
        </w:r>
      </w:hyperlink>
      <w:r>
        <w:rPr>
          <w:rFonts w:ascii="Times New Roman" w:hAnsi="Times New Roman"/>
        </w:rPr>
        <w:t xml:space="preserve">.</w:t>
      </w:r>
    </w:p>
    <w:bookmarkEnd w:id="47"/>
    <w:bookmarkStart w:id="49"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8">
        <w:r>
          <w:rPr>
            <w:rStyle w:val="Hyperlink"/>
          </w:rPr>
          <w:t xml:space="preserve">https://doi.org/10.5281/zenodo.23036963</w:t>
        </w:r>
      </w:hyperlink>
      <w:r>
        <w:rPr>
          <w:rFonts w:ascii="Times New Roman" w:hAnsi="Times New Roman"/>
        </w:rPr>
        <w:t xml:space="preserve">.</w:t>
      </w:r>
    </w:p>
    <w:bookmarkEnd w:id="49"/>
    <w:bookmarkStart w:id="51"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0">
        <w:r>
          <w:rPr>
            <w:rStyle w:val="Hyperlink"/>
          </w:rPr>
          <w:t xml:space="preserve">https://doi.org/10.1145/3489517.3530400</w:t>
        </w:r>
      </w:hyperlink>
      <w:r>
        <w:rPr>
          <w:rFonts w:ascii="Times New Roman" w:hAnsi="Times New Roman"/>
        </w:rPr>
        <w:t xml:space="preserve">.</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50" Type="http://schemas.openxmlformats.org/officeDocument/2006/relationships/hyperlink" Target="https://doi.org/10.1145/3489517.3530400" TargetMode="External"/><Relationship Id="rId43" Type="http://schemas.openxmlformats.org/officeDocument/2006/relationships/hyperlink" Target="https://doi.org/10.22331/q-2022-12-22-881" TargetMode="External"/><Relationship Id="rId46" Type="http://schemas.openxmlformats.org/officeDocument/2006/relationships/hyperlink" Target="https://doi.org/10.5281/zenodo.22832150" TargetMode="External"/><Relationship Id="rId48" Type="http://schemas.openxmlformats.org/officeDocument/2006/relationships/hyperlink" Target="https://doi.org/10.5281/zenodo.23036963" TargetMode="External"/><Relationship Id="rId40"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145/3489517.3530400" TargetMode="External"/><Relationship Id="rId43" Type="http://schemas.openxmlformats.org/officeDocument/2006/relationships/hyperlink" Target="https://doi.org/10.22331/q-2022-12-22-881" TargetMode="External"/><Relationship Id="rId46" Type="http://schemas.openxmlformats.org/officeDocument/2006/relationships/hyperlink" Target="https://doi.org/10.5281/zenodo.22832150" TargetMode="External"/><Relationship Id="rId48" Type="http://schemas.openxmlformats.org/officeDocument/2006/relationships/hyperlink" Target="https://doi.org/10.5281/zenodo.23036963" TargetMode="External"/><Relationship Id="rId40"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2026-10-03T15:16:29Z</dcterms:created>
  <dcterms:modified xsi:type="dcterms:W3CDTF">2026-10-03T15:16:29Z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no corrige ni el desfase ni un T1 distinto entre qubits, aunque solo pierde menos de un punto hasta una dispersión de \pm80\,\% en 1/T_1. Con entrenamiento con ruido y una lectura más rica, el modelo sin filtro es 1.2 puntos mejor: descartar disparos decaídos puede costar precisión. El déficit del peso 2 viene de la codificación por productos de pares, no de la lectura. Con los modelos de ruido de equipos de IBM e IonQ, el filtro reduce el error del qg_Z medido entre 2.9 y 3.6 veces. Estos modelos son simulables clásicamente y no se afirma ventaja cuántica. El filtro es una manera de hacer válido el entrenamiento sin ruido bajo relajación, con un costo en disparos conocido de antemano. Los modelos se publican como qang.qml (versión 0.6.0, pip install qang).</vt:lpwstr>
  </property>
  <property fmtid="{D5CDD505-2E9C-101B-9397-08002B2CF9AE}" pid="3" name="bibliography">
    <vt:lpwstr>../refs.bib</vt:lpwstr>
  </property>
  <property fmtid="{D5CDD505-2E9C-101B-9397-08002B2CF9AE}" pid="4" name="date">
    <vt:lpwstr>Borrador del 3 de octubre de 2026</vt:lpwstr>
  </property>
  <property fmtid="{D5CDD505-2E9C-101B-9397-08002B2CF9AE}" pid="5" name="link-citations">
    <vt:lpwstr>True</vt:lpwstr>
  </property>
</Properties>
</file>