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240" w:after="360"/>
        <w:jc w:val="center"/>
      </w:pPr>
      <w:r>
        <w:rPr>
          <w:rFonts w:ascii="Times New Roman" w:hAnsi="Times New Roman"/>
          <w:b/>
          <w:sz w:val="28"/>
        </w:rPr>
        <w:t>BAB II</w:t>
        <w:br/>
      </w:r>
      <w:r>
        <w:rPr>
          <w:rFonts w:ascii="Times New Roman" w:hAnsi="Times New Roman"/>
          <w:b/>
          <w:sz w:val="28"/>
        </w:rPr>
        <w:t>LANDASAN TEORI</w:t>
      </w:r>
    </w:p>
    <w:p>
      <w:pPr>
        <w:spacing w:line="360" w:lineRule="auto" w:before="280" w:after="120"/>
        <w:jc w:val="left"/>
      </w:pPr>
      <w:r>
        <w:rPr>
          <w:rFonts w:ascii="Times New Roman" w:hAnsi="Times New Roman"/>
          <w:b/>
          <w:sz w:val="24"/>
        </w:rPr>
        <w:t>2.1 Kajian Teori</w:t>
      </w:r>
    </w:p>
    <w:p>
      <w:pPr>
        <w:spacing w:line="360" w:lineRule="auto" w:before="200" w:after="80"/>
        <w:jc w:val="left"/>
      </w:pPr>
      <w:r>
        <w:rPr>
          <w:rFonts w:ascii="Times New Roman" w:hAnsi="Times New Roman"/>
          <w:b/>
          <w:sz w:val="24"/>
        </w:rPr>
        <w:t>2.1.1 Gangguan Tidur dan Metrik Gaya Hidup Digital</w:t>
      </w:r>
    </w:p>
    <w:p>
      <w:pPr>
        <w:spacing w:line="360" w:lineRule="auto" w:after="120"/>
        <w:ind w:firstLine="720"/>
        <w:jc w:val="both"/>
      </w:pPr>
      <w:r>
        <w:rPr>
          <w:rFonts w:ascii="Times New Roman" w:hAnsi="Times New Roman"/>
          <w:sz w:val="24"/>
        </w:rPr>
        <w:t>Kualitas tidur yang memadai merupakan salah satu pilar biologis yang sangat fundamental dalam menjaga stabilitas sistem fisiologis dan psikologis manusia (Medic et al., 2017). Secara fisiologis, siklus tidur manusia tersusun atas arsitektur kompleks yang terbagi ke dalam fase tidur non-Rapid Eye Movement (NREM) dan Rapid Eye Movement (REM). Fase NREM stadium 3, yang secara klinis dikenal sebagai tidur gelombang lambat (Slow-Wave Deep Sleep), memegang peranan krusial dalam pemulihan seluler, perbaikan jaringan somatik, pelepasan hormon pertumbuhan, serta konsolidasi memori imunologis. Berbagai studi epidemiologis skala luas membuktikan bahwa durasi tidur yang tidak mencukupi serta pola istirahat yang terdistorsi secara berkepanjangan berkorelasi langsung dengan lonjakan morbiditas penyakit kardiovaskular, sindrom metabolik, resistensi insulin, hingga risiko mortalitas dini (Windred et al., 2024). Dampak penurunan mutu istirahat ini terasa semakin destruktif apabila menimpa individu dengan riwayat komorbiditas kronis, di mana episode insomnia dan fragmentasi tidur malam secara klinis mempercepat perburukan prognosis medis pasien (Das et al., 2025). Mengingat prosedur evaluasi laboratoris standar emas seperti polisomnografi (PSG) memerlukan biaya tinggi, fasilitas rawat inap khusus, dan antrean waktu tunggu yang panjang, maka penapisan risiko preventif berbasis analisis multivariat gaya hidup kini diposisikan sebagai intervensi paling strategis dalam manajemen kesehatan masyarakat modern (Wang et al., 2025).</w:t>
      </w:r>
    </w:p>
    <w:p>
      <w:pPr>
        <w:spacing w:line="360" w:lineRule="auto" w:after="120"/>
        <w:ind w:firstLine="720"/>
        <w:jc w:val="both"/>
      </w:pPr>
      <w:r>
        <w:rPr>
          <w:rFonts w:ascii="Times New Roman" w:hAnsi="Times New Roman"/>
          <w:sz w:val="24"/>
        </w:rPr>
        <w:t>Transformasi digital dan penetrasi perangkat cerdas (smartphones) dalam satu dekade terakhir telah merevolusi pola perilaku harian masyarakat secara menyeluruh. Tingginya intensitas penggunaan gawai elektronik menjelang waktu istirahat malam teridentifikasi sebagai determinan perilaku eksternal paling dominan yang merusak keteraturan sirkadian tubuh (Deivendran et al., 2025). Secara biokimiawi, emisi radiasi spektrum cahaya biru (blue light) dengan panjang gelombang 450–480 nm yang dipancarkan oleh layar LED menstimulasi sel ganglion retina fotosensitif intrinsik (ipRGCs). Sinyal saraf optik tersebut diteruskan secara langsung ke nukleus suprakiasmatik (SCN) pada hipotalamus, yang kemudian menekan biosintesis dan sekresi hormon melatonin oleh kelenjar pineal (Jahrami, 2023). Supresi melatonin ini menunda fase inisiasi rasa kantuk biologis (sleep onset latency), memperpendek durasi tidur gelombang lambat, serta memicu desinkronisasi jam sirkadian endogen. Akibatnya, pencatatan metrik durasi paparan layar gawai (screen time) merupakan variabel prediktor primer yang sangat esensial dalam stratifikasi risiko gangguan tidur era modern.</w:t>
      </w:r>
    </w:p>
    <w:p>
      <w:pPr>
        <w:spacing w:line="360" w:lineRule="auto" w:after="120"/>
        <w:ind w:firstLine="720"/>
        <w:jc w:val="both"/>
      </w:pPr>
      <w:r>
        <w:rPr>
          <w:rFonts w:ascii="Times New Roman" w:hAnsi="Times New Roman"/>
          <w:sz w:val="24"/>
        </w:rPr>
        <w:t>Di samping disrupsi fotobiologis akibat pancaran sinar layar gawai, interaksi digital yang konstan juga melahirkan beban tekanan psikologis baru yang didefinisikan sebagai technostress. Tuntutan untuk selalu responsif terhadap pesan kerja, arus informasi tanpa henti melalui media sosial, serta sindrom kecemasan tertinggal informasi (Fear of Missing Out / FOMO) menginduksi status hiperarousal mental fisiologis (Widayati, 2024). Kondisi ini menstimulasi aktivitas aksis hipotalamus-hipofisis-adrenal (HPA axis) dan sistem saraf simpatis secara berlebihan, sehingga melepaskan hormon kortisol yang menghambat relaksasi mental sebelum terlelap. Tekanan psikososial tersebut kemudian bersinergi secara destruktif dengan kebiasaan gaya hidup yang buruk, seperti konsumsi kafein berlebih, kebiasaan begadang, serta kurangnya aktivitas fisik teratur (Henrich et al., 2021). Untuk memutus lingkaran patologis tersebut, pedoman kebersihan tidur (Sleep Hygiene) diterapkan sebagai standar intervensi perilaku klinis lini pertama guna merestrukturisasi pola hidup individu (Irish et al., 2015). Standar parameter klinis Sleep Hygiene menetapkan ambang batas operasional bahwa interaksi dengan layar gawai wajib dihentikan minimal 30 hingga 60 menit sebelum waktu tidur guna memulihkan sekresi melatonin alami (Chang et al., 2015). Selain itu, asupan zat psikoaktif kafein wajib dibatasi setidaknya 6 jam sebelum tidur (misalnya maksimal pukul 14.00 WIB untuk jadwal tidur pukul 22.00 WIB) karena waktu paruh metabolisme eliminasi kafein dalam plasma darah manusia berkisar antara 3 hingga 7 jam (Drake et al., 2013). Penyelarasan parameter gaya hidup digital terhadap ambang batas klinis Sleep Hygiene inilah yang menjadi basis perancangan modul intervensi rekomendasi personal dalam penelitian ini.</w:t>
      </w:r>
    </w:p>
    <w:p>
      <w:pPr>
        <w:spacing w:line="360" w:lineRule="auto" w:before="200" w:after="80"/>
        <w:jc w:val="left"/>
      </w:pPr>
      <w:r>
        <w:rPr>
          <w:rFonts w:ascii="Times New Roman" w:hAnsi="Times New Roman"/>
          <w:b/>
          <w:sz w:val="24"/>
        </w:rPr>
        <w:t>2.1.2 Pembelajaran Mesin dan Klasifikasi Terawasi</w:t>
      </w:r>
    </w:p>
    <w:p>
      <w:pPr>
        <w:spacing w:line="360" w:lineRule="auto" w:after="120"/>
        <w:ind w:firstLine="720"/>
        <w:jc w:val="both"/>
      </w:pPr>
      <w:r>
        <w:rPr>
          <w:rFonts w:ascii="Times New Roman" w:hAnsi="Times New Roman"/>
          <w:sz w:val="24"/>
        </w:rPr>
        <w:t>Pembelajaran mesin (machine learning) merupakan cabang keilmuan kecerdasan buatan yang berfokus pada pengembangan algoritma komputasional yang mampu mempelajari pola tersembunyi secara langsung dari data historis tanpa diprogram secara kaku (rule-based). Dalam paradigma klasifikasi terawasi (supervised learning), model diinstruksikan untuk memetakan fungsi aproksimasi matematis f: X → Y yang menghubungkan matriks fitur prediktor independen X ∈ R^(N x M) dengan vektor label target diskrit Y ∈ {1, ..., K} (Rahman et al., 2025). Pada penelitian ini, ruang target didefinisikan ke dalam empat tingkatan stratifikasi risiko klinis (K = 4), yaitu Healthy (c = 1), Mild (c = 2), Moderate (c = 3), dan Severe (c = 4). Keunggulan pendekatan machine learning terletak pada kapabilitasnya dalam menangkap interaksi multivariat non-linier antara metrik fisiologis dan pola perilaku digital yang terlampau rumit jika dianalisis melalui uji statistik univariat tradisional (Kaya, 2025).</w:t>
      </w:r>
    </w:p>
    <w:p>
      <w:pPr>
        <w:spacing w:line="360" w:lineRule="auto" w:after="120"/>
        <w:ind w:firstLine="720"/>
        <w:jc w:val="both"/>
      </w:pPr>
      <w:r>
        <w:rPr>
          <w:rFonts w:ascii="Times New Roman" w:hAnsi="Times New Roman"/>
          <w:sz w:val="24"/>
        </w:rPr>
        <w:t>Dalam proses optimasi matematis klasifikasi multi-kelas, model memperbarui parameter bobot internalnya dengan meminimalkan fungsi kerugian Multi-Class Cross-Entropy Loss yang didefinisikan secara formal pada Persamaan (2.1):</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6480"/>
        <w:gridCol w:w="2160"/>
      </w:tblGrid>
      <w:tr>
        <w:tc>
          <w:tcPr>
            <w:tcW w:type="dxa" w:w="3968"/>
          </w:tcPr>
          <w:p>
            <w:pPr>
              <w:spacing w:before="80" w:after="80" w:line="276" w:lineRule="auto"/>
              <w:jc w:val="center"/>
            </w:pPr>
            <w:r>
              <w:rPr>
                <w:rFonts w:ascii="Times New Roman" w:hAnsi="Times New Roman"/>
                <w:b/>
                <w:sz w:val="23"/>
              </w:rPr>
              <w:t>L_Multi-CE = - (1 / N) * ∑_{i=1}^N ∑_{k=1}^K y_{i,k} · ln(p̂_{i,k})</w:t>
            </w:r>
          </w:p>
        </w:tc>
        <w:tc>
          <w:tcPr>
            <w:tcW w:type="dxa" w:w="3968"/>
          </w:tcPr>
          <w:p>
            <w:pPr>
              <w:spacing w:before="80" w:after="80" w:line="276" w:lineRule="auto"/>
              <w:jc w:val="right"/>
            </w:pPr>
            <w:r>
              <w:rPr>
                <w:rFonts w:ascii="Times New Roman" w:hAnsi="Times New Roman"/>
                <w:b/>
                <w:sz w:val="22"/>
              </w:rPr>
              <w:t>(Persamaan 2.1)</w:t>
            </w:r>
          </w:p>
        </w:tc>
      </w:tr>
    </w:tbl>
    <w:p>
      <w:pPr>
        <w:spacing w:before="40" w:after="160" w:line="276" w:lineRule="auto"/>
        <w:ind w:left="576" w:firstLine="0"/>
      </w:pPr>
      <w:r>
        <w:rPr>
          <w:rFonts w:ascii="Times New Roman" w:hAnsi="Times New Roman"/>
          <w:i/>
          <w:sz w:val="21"/>
        </w:rPr>
        <w:t>di mana:</w:t>
        <w:br/>
      </w:r>
      <w:r>
        <w:rPr>
          <w:rFonts w:ascii="Times New Roman" w:hAnsi="Times New Roman"/>
          <w:b/>
          <w:sz w:val="21"/>
        </w:rPr>
        <w:t xml:space="preserve">  •  L_Multi-CE</w:t>
      </w:r>
      <w:r>
        <w:rPr>
          <w:rFonts w:ascii="Times New Roman" w:hAnsi="Times New Roman"/>
          <w:sz w:val="21"/>
        </w:rPr>
        <w:t xml:space="preserve"> = </w:t>
      </w:r>
      <w:r>
        <w:rPr>
          <w:rFonts w:ascii="Times New Roman" w:hAnsi="Times New Roman"/>
          <w:sz w:val="21"/>
        </w:rPr>
        <w:t>nilai fungsi kerugian multi-class cross-entropy</w:t>
        <w:br/>
      </w:r>
      <w:r>
        <w:rPr>
          <w:rFonts w:ascii="Times New Roman" w:hAnsi="Times New Roman"/>
          <w:b/>
          <w:sz w:val="21"/>
        </w:rPr>
        <w:t xml:space="preserve">  •  N</w:t>
      </w:r>
      <w:r>
        <w:rPr>
          <w:rFonts w:ascii="Times New Roman" w:hAnsi="Times New Roman"/>
          <w:sz w:val="21"/>
        </w:rPr>
        <w:t xml:space="preserve"> = </w:t>
      </w:r>
      <w:r>
        <w:rPr>
          <w:rFonts w:ascii="Times New Roman" w:hAnsi="Times New Roman"/>
          <w:sz w:val="21"/>
        </w:rPr>
        <w:t>total jumlah seluruh sampel observasi data (N = 80.000 pada data latih)</w:t>
        <w:br/>
      </w:r>
      <w:r>
        <w:rPr>
          <w:rFonts w:ascii="Times New Roman" w:hAnsi="Times New Roman"/>
          <w:b/>
          <w:sz w:val="21"/>
        </w:rPr>
        <w:t xml:space="preserve">  •  K</w:t>
      </w:r>
      <w:r>
        <w:rPr>
          <w:rFonts w:ascii="Times New Roman" w:hAnsi="Times New Roman"/>
          <w:sz w:val="21"/>
        </w:rPr>
        <w:t xml:space="preserve"> = </w:t>
      </w:r>
      <w:r>
        <w:rPr>
          <w:rFonts w:ascii="Times New Roman" w:hAnsi="Times New Roman"/>
          <w:sz w:val="21"/>
        </w:rPr>
        <w:t>jumlah kategori tingkatan kelas risiko target (K = 4)</w:t>
        <w:br/>
      </w:r>
      <w:r>
        <w:rPr>
          <w:rFonts w:ascii="Times New Roman" w:hAnsi="Times New Roman"/>
          <w:b/>
          <w:sz w:val="21"/>
        </w:rPr>
        <w:t xml:space="preserve">  •  y_{i,k}</w:t>
      </w:r>
      <w:r>
        <w:rPr>
          <w:rFonts w:ascii="Times New Roman" w:hAnsi="Times New Roman"/>
          <w:sz w:val="21"/>
        </w:rPr>
        <w:t xml:space="preserve"> = </w:t>
      </w:r>
      <w:r>
        <w:rPr>
          <w:rFonts w:ascii="Times New Roman" w:hAnsi="Times New Roman"/>
          <w:sz w:val="21"/>
        </w:rPr>
        <w:t>variabel indikator biner bernilai 1 jika sampel ke-i termasuk ke dalam kelas k, dan 0 jika sebaliknya</w:t>
        <w:br/>
      </w:r>
      <w:r>
        <w:rPr>
          <w:rFonts w:ascii="Times New Roman" w:hAnsi="Times New Roman"/>
          <w:b/>
          <w:sz w:val="21"/>
        </w:rPr>
        <w:t xml:space="preserve">  •  p̂_{i,k}</w:t>
      </w:r>
      <w:r>
        <w:rPr>
          <w:rFonts w:ascii="Times New Roman" w:hAnsi="Times New Roman"/>
          <w:sz w:val="21"/>
        </w:rPr>
        <w:t xml:space="preserve"> = </w:t>
      </w:r>
      <w:r>
        <w:rPr>
          <w:rFonts w:ascii="Times New Roman" w:hAnsi="Times New Roman"/>
          <w:sz w:val="21"/>
        </w:rPr>
        <w:t>estimasi probabilitas prediksi model bahwa sampel observasi ke-i tergolong pada kelas k</w:t>
      </w:r>
    </w:p>
    <w:p>
      <w:pPr>
        <w:spacing w:line="360" w:lineRule="auto" w:after="120"/>
        <w:ind w:firstLine="720"/>
        <w:jc w:val="both"/>
      </w:pPr>
      <w:r>
        <w:rPr>
          <w:rFonts w:ascii="Times New Roman" w:hAnsi="Times New Roman"/>
          <w:sz w:val="24"/>
        </w:rPr>
        <w:t>Pada domain medis, performa model klasifikasi tidak dapat hanya dinilai berdasarkan metrik akurasi semata, mengingat metrik akurasi sangat rentan memunculkan ilusi performa semu (accuracy paradox) pada populasi data yang mengalami ketimpangan sebaran kelas (class imbalance). Oleh karena itu, evaluasi diagnostik multi-kelas wajib diuraikan menggunakan metrik evaluasi Recall (sensitivitas deteksi) dan Precision (tingkat keyakinan positif) untuk masing-masing kelas target k, sebagaimana dirumuskan pada Persamaan (2.2) dan Persamaan (2.3):</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6480"/>
        <w:gridCol w:w="2160"/>
      </w:tblGrid>
      <w:tr>
        <w:tc>
          <w:tcPr>
            <w:tcW w:type="dxa" w:w="3968"/>
          </w:tcPr>
          <w:p>
            <w:pPr>
              <w:spacing w:before="80" w:after="80" w:line="276" w:lineRule="auto"/>
              <w:jc w:val="center"/>
            </w:pPr>
            <w:r>
              <w:rPr>
                <w:rFonts w:ascii="Times New Roman" w:hAnsi="Times New Roman"/>
                <w:b/>
                <w:sz w:val="23"/>
              </w:rPr>
              <w:t>Recall_k = TP_k / (TP_k + FN_k)</w:t>
            </w:r>
          </w:p>
        </w:tc>
        <w:tc>
          <w:tcPr>
            <w:tcW w:type="dxa" w:w="3968"/>
          </w:tcPr>
          <w:p>
            <w:pPr>
              <w:spacing w:before="80" w:after="80" w:line="276" w:lineRule="auto"/>
              <w:jc w:val="right"/>
            </w:pPr>
            <w:r>
              <w:rPr>
                <w:rFonts w:ascii="Times New Roman" w:hAnsi="Times New Roman"/>
                <w:b/>
                <w:sz w:val="22"/>
              </w:rPr>
              <w:t>(Persamaan 2.2)</w:t>
            </w:r>
          </w:p>
        </w:tc>
      </w:tr>
    </w:tbl>
    <w:p>
      <w:pPr>
        <w:spacing w:before="40" w:after="160" w:line="276" w:lineRule="auto"/>
        <w:ind w:left="576" w:firstLine="0"/>
      </w:pPr>
      <w:r>
        <w:rPr>
          <w:rFonts w:ascii="Times New Roman" w:hAnsi="Times New Roman"/>
          <w:i/>
          <w:sz w:val="21"/>
        </w:rPr>
        <w:t>di mana:</w:t>
        <w:br/>
      </w:r>
      <w:r>
        <w:rPr>
          <w:rFonts w:ascii="Times New Roman" w:hAnsi="Times New Roman"/>
          <w:b/>
          <w:sz w:val="21"/>
        </w:rPr>
        <w:t xml:space="preserve">  •  Recall_k</w:t>
      </w:r>
      <w:r>
        <w:rPr>
          <w:rFonts w:ascii="Times New Roman" w:hAnsi="Times New Roman"/>
          <w:sz w:val="21"/>
        </w:rPr>
        <w:t xml:space="preserve"> = </w:t>
      </w:r>
      <w:r>
        <w:rPr>
          <w:rFonts w:ascii="Times New Roman" w:hAnsi="Times New Roman"/>
          <w:sz w:val="21"/>
        </w:rPr>
        <w:t>sensitivitas model dalam menjaring seluruh kasus aktual pada kelas k (True Positive Rate)</w:t>
        <w:br/>
      </w:r>
      <w:r>
        <w:rPr>
          <w:rFonts w:ascii="Times New Roman" w:hAnsi="Times New Roman"/>
          <w:b/>
          <w:sz w:val="21"/>
        </w:rPr>
        <w:t xml:space="preserve">  •  TP_k</w:t>
      </w:r>
      <w:r>
        <w:rPr>
          <w:rFonts w:ascii="Times New Roman" w:hAnsi="Times New Roman"/>
          <w:sz w:val="21"/>
        </w:rPr>
        <w:t xml:space="preserve"> = </w:t>
      </w:r>
      <w:r>
        <w:rPr>
          <w:rFonts w:ascii="Times New Roman" w:hAnsi="Times New Roman"/>
          <w:sz w:val="21"/>
        </w:rPr>
        <w:t>jumlah sampel kelas k yang diprediksi secara tepat oleh model (True Positive)</w:t>
        <w:br/>
      </w:r>
      <w:r>
        <w:rPr>
          <w:rFonts w:ascii="Times New Roman" w:hAnsi="Times New Roman"/>
          <w:b/>
          <w:sz w:val="21"/>
        </w:rPr>
        <w:t xml:space="preserve">  •  FN_k</w:t>
      </w:r>
      <w:r>
        <w:rPr>
          <w:rFonts w:ascii="Times New Roman" w:hAnsi="Times New Roman"/>
          <w:sz w:val="21"/>
        </w:rPr>
        <w:t xml:space="preserve"> = </w:t>
      </w:r>
      <w:r>
        <w:rPr>
          <w:rFonts w:ascii="Times New Roman" w:hAnsi="Times New Roman"/>
          <w:sz w:val="21"/>
        </w:rPr>
        <w:t>jumlah sampel kelas k yang terlewat dan diprediksi keliru sebagai kelas lain (False Negative)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6480"/>
        <w:gridCol w:w="2160"/>
      </w:tblGrid>
      <w:tr>
        <w:tc>
          <w:tcPr>
            <w:tcW w:type="dxa" w:w="3968"/>
          </w:tcPr>
          <w:p>
            <w:pPr>
              <w:spacing w:before="80" w:after="80" w:line="276" w:lineRule="auto"/>
              <w:jc w:val="center"/>
            </w:pPr>
            <w:r>
              <w:rPr>
                <w:rFonts w:ascii="Times New Roman" w:hAnsi="Times New Roman"/>
                <w:b/>
                <w:sz w:val="23"/>
              </w:rPr>
              <w:t>Precision_k = TP_k / (TP_k + FP_k)</w:t>
            </w:r>
          </w:p>
        </w:tc>
        <w:tc>
          <w:tcPr>
            <w:tcW w:type="dxa" w:w="3968"/>
          </w:tcPr>
          <w:p>
            <w:pPr>
              <w:spacing w:before="80" w:after="80" w:line="276" w:lineRule="auto"/>
              <w:jc w:val="right"/>
            </w:pPr>
            <w:r>
              <w:rPr>
                <w:rFonts w:ascii="Times New Roman" w:hAnsi="Times New Roman"/>
                <w:b/>
                <w:sz w:val="22"/>
              </w:rPr>
              <w:t>(Persamaan 2.3)</w:t>
            </w:r>
          </w:p>
        </w:tc>
      </w:tr>
    </w:tbl>
    <w:p>
      <w:pPr>
        <w:spacing w:before="40" w:after="160" w:line="276" w:lineRule="auto"/>
        <w:ind w:left="576" w:firstLine="0"/>
      </w:pPr>
      <w:r>
        <w:rPr>
          <w:rFonts w:ascii="Times New Roman" w:hAnsi="Times New Roman"/>
          <w:i/>
          <w:sz w:val="21"/>
        </w:rPr>
        <w:t>di mana:</w:t>
        <w:br/>
      </w:r>
      <w:r>
        <w:rPr>
          <w:rFonts w:ascii="Times New Roman" w:hAnsi="Times New Roman"/>
          <w:b/>
          <w:sz w:val="21"/>
        </w:rPr>
        <w:t xml:space="preserve">  •  Precision_k</w:t>
      </w:r>
      <w:r>
        <w:rPr>
          <w:rFonts w:ascii="Times New Roman" w:hAnsi="Times New Roman"/>
          <w:sz w:val="21"/>
        </w:rPr>
        <w:t xml:space="preserve"> = </w:t>
      </w:r>
      <w:r>
        <w:rPr>
          <w:rFonts w:ascii="Times New Roman" w:hAnsi="Times New Roman"/>
          <w:sz w:val="21"/>
        </w:rPr>
        <w:t>tingkat ketepatan prediksi positif model saat melabeli suatu sampel sebagai kelas k</w:t>
        <w:br/>
      </w:r>
      <w:r>
        <w:rPr>
          <w:rFonts w:ascii="Times New Roman" w:hAnsi="Times New Roman"/>
          <w:b/>
          <w:sz w:val="21"/>
        </w:rPr>
        <w:t xml:space="preserve">  •  FP_k</w:t>
      </w:r>
      <w:r>
        <w:rPr>
          <w:rFonts w:ascii="Times New Roman" w:hAnsi="Times New Roman"/>
          <w:sz w:val="21"/>
        </w:rPr>
        <w:t xml:space="preserve"> = </w:t>
      </w:r>
      <w:r>
        <w:rPr>
          <w:rFonts w:ascii="Times New Roman" w:hAnsi="Times New Roman"/>
          <w:sz w:val="21"/>
        </w:rPr>
        <w:t>jumlah sampel dari kelas lain yang secara keliru diprediksi masuk ke dalam kelas k (False Positive)</w:t>
      </w:r>
    </w:p>
    <w:p>
      <w:pPr>
        <w:spacing w:line="360" w:lineRule="auto" w:after="120"/>
        <w:ind w:firstLine="720"/>
        <w:jc w:val="both"/>
      </w:pPr>
      <w:r>
        <w:rPr>
          <w:rFonts w:ascii="Times New Roman" w:hAnsi="Times New Roman"/>
          <w:sz w:val="24"/>
        </w:rPr>
        <w:t>Guna menyatukan trade-off antara presisi dan sensitivitas ke dalam satu nilai kuantitatif agregat yang adil bagi seluruh tingkatan risiko, metrik Macro-averaged F1-Score dihitung dengan merata-ratakan nilai F1-Score harmonik dari setiap kelas tanpa dipengaruhi oleh dominasi kelas mayoritas, sebagaimana dirumuskan pada Persamaan (2.4) (Chicco &amp; Jurman, 2022):</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6480"/>
        <w:gridCol w:w="2160"/>
      </w:tblGrid>
      <w:tr>
        <w:tc>
          <w:tcPr>
            <w:tcW w:type="dxa" w:w="3968"/>
          </w:tcPr>
          <w:p>
            <w:pPr>
              <w:spacing w:before="80" w:after="80" w:line="276" w:lineRule="auto"/>
              <w:jc w:val="center"/>
            </w:pPr>
            <w:r>
              <w:rPr>
                <w:rFonts w:ascii="Times New Roman" w:hAnsi="Times New Roman"/>
                <w:b/>
                <w:sz w:val="23"/>
              </w:rPr>
              <w:t>Macro-F1 = (1 / K) * ∑_{k=1}^K [2 * (Precision_k * Recall_k) / (Precision_k + Recall_k)]</w:t>
            </w:r>
          </w:p>
        </w:tc>
        <w:tc>
          <w:tcPr>
            <w:tcW w:type="dxa" w:w="3968"/>
          </w:tcPr>
          <w:p>
            <w:pPr>
              <w:spacing w:before="80" w:after="80" w:line="276" w:lineRule="auto"/>
              <w:jc w:val="right"/>
            </w:pPr>
            <w:r>
              <w:rPr>
                <w:rFonts w:ascii="Times New Roman" w:hAnsi="Times New Roman"/>
                <w:b/>
                <w:sz w:val="22"/>
              </w:rPr>
              <w:t>(Persamaan 2.4)</w:t>
            </w:r>
          </w:p>
        </w:tc>
      </w:tr>
    </w:tbl>
    <w:p>
      <w:pPr>
        <w:spacing w:before="40" w:after="160" w:line="276" w:lineRule="auto"/>
        <w:ind w:left="576" w:firstLine="0"/>
      </w:pPr>
      <w:r>
        <w:rPr>
          <w:rFonts w:ascii="Times New Roman" w:hAnsi="Times New Roman"/>
          <w:i/>
          <w:sz w:val="21"/>
        </w:rPr>
        <w:t>di mana:</w:t>
        <w:br/>
      </w:r>
      <w:r>
        <w:rPr>
          <w:rFonts w:ascii="Times New Roman" w:hAnsi="Times New Roman"/>
          <w:b/>
          <w:sz w:val="21"/>
        </w:rPr>
        <w:t xml:space="preserve">  •  Macro-F1</w:t>
      </w:r>
      <w:r>
        <w:rPr>
          <w:rFonts w:ascii="Times New Roman" w:hAnsi="Times New Roman"/>
          <w:sz w:val="21"/>
        </w:rPr>
        <w:t xml:space="preserve"> = </w:t>
      </w:r>
      <w:r>
        <w:rPr>
          <w:rFonts w:ascii="Times New Roman" w:hAnsi="Times New Roman"/>
          <w:sz w:val="21"/>
        </w:rPr>
        <w:t>rata-rata harmonik performa klasifikasi di seluruh tingkatan risiko tanpa pembobotan frekuensi</w:t>
        <w:br/>
      </w:r>
      <w:r>
        <w:rPr>
          <w:rFonts w:ascii="Times New Roman" w:hAnsi="Times New Roman"/>
          <w:b/>
          <w:sz w:val="21"/>
        </w:rPr>
        <w:t xml:space="preserve">  •  K</w:t>
      </w:r>
      <w:r>
        <w:rPr>
          <w:rFonts w:ascii="Times New Roman" w:hAnsi="Times New Roman"/>
          <w:sz w:val="21"/>
        </w:rPr>
        <w:t xml:space="preserve"> = </w:t>
      </w:r>
      <w:r>
        <w:rPr>
          <w:rFonts w:ascii="Times New Roman" w:hAnsi="Times New Roman"/>
          <w:sz w:val="21"/>
        </w:rPr>
        <w:t>jumlah total kelas risiko target (K = 4)</w:t>
        <w:br/>
      </w:r>
      <w:r>
        <w:rPr>
          <w:rFonts w:ascii="Times New Roman" w:hAnsi="Times New Roman"/>
          <w:b/>
          <w:sz w:val="21"/>
        </w:rPr>
        <w:t xml:space="preserve">  •  Precision_k</w:t>
      </w:r>
      <w:r>
        <w:rPr>
          <w:rFonts w:ascii="Times New Roman" w:hAnsi="Times New Roman"/>
          <w:sz w:val="21"/>
        </w:rPr>
        <w:t xml:space="preserve"> = </w:t>
      </w:r>
      <w:r>
        <w:rPr>
          <w:rFonts w:ascii="Times New Roman" w:hAnsi="Times New Roman"/>
          <w:sz w:val="21"/>
        </w:rPr>
        <w:t>nilai presisi pada kelas risiko ke-k sesuai Persamaan (2.3)</w:t>
        <w:br/>
      </w:r>
      <w:r>
        <w:rPr>
          <w:rFonts w:ascii="Times New Roman" w:hAnsi="Times New Roman"/>
          <w:b/>
          <w:sz w:val="21"/>
        </w:rPr>
        <w:t xml:space="preserve">  •  Recall_k</w:t>
      </w:r>
      <w:r>
        <w:rPr>
          <w:rFonts w:ascii="Times New Roman" w:hAnsi="Times New Roman"/>
          <w:sz w:val="21"/>
        </w:rPr>
        <w:t xml:space="preserve"> = </w:t>
      </w:r>
      <w:r>
        <w:rPr>
          <w:rFonts w:ascii="Times New Roman" w:hAnsi="Times New Roman"/>
          <w:sz w:val="21"/>
        </w:rPr>
        <w:t>nilai recall pada kelas risiko ke-k sesuai Persamaan (2.2)</w:t>
      </w:r>
    </w:p>
    <w:p>
      <w:pPr>
        <w:spacing w:line="360" w:lineRule="auto" w:before="200" w:after="80"/>
        <w:jc w:val="left"/>
      </w:pPr>
      <w:r>
        <w:rPr>
          <w:rFonts w:ascii="Times New Roman" w:hAnsi="Times New Roman"/>
          <w:b/>
          <w:sz w:val="24"/>
        </w:rPr>
        <w:t>2.1.3 Algoritma CatBoost (Categorical Boosting)</w:t>
      </w:r>
    </w:p>
    <w:p>
      <w:pPr>
        <w:spacing w:line="360" w:lineRule="auto" w:after="120"/>
        <w:ind w:firstLine="720"/>
        <w:jc w:val="both"/>
      </w:pPr>
      <w:r>
        <w:rPr>
          <w:rFonts w:ascii="Times New Roman" w:hAnsi="Times New Roman"/>
          <w:sz w:val="24"/>
        </w:rPr>
        <w:t>CatBoost, singkatan dari Categorical Boosting, merupakan algoritma pembelajaran mesin mutakhir dalam rumpun Gradient Boosted Decision Trees (GBDT) yang dikembangkan oleh Prokhorenkova et al. (2018). Algoritma ini dirancang secara khusus untuk mengatasi dua kelemahan fundamental yang sering membatasi kinerja pustaka boosting konvensional (seperti XGBoost dan LightGBM), yaitu kerentanan terhadap kebocoran target (target leakage) saat memproses variabel kategorikal dan terjadinya pergeseran distribusi estimasi (prediction shift). Struktur dasar model pembelajar CatBoost dibangun menggunakan pohon keputusan simetris yang dikenal luas sebagai oblivious trees (Hancock &amp; Khoshgoftaar, 2020). Pada oblivious trees, predikat aturan pemisahan fitur (feature split) pada setiap tingkat kedalaman pohon diterapkan secara seragam dan identik pada seluruh simpul di tingkat kedalaman yang sama. Struktur simetris ini bertindak sebagai mekanisme regularisasi struktural alami yang secara efektif membatasi variansi model, mencegah fenomena overfitting pada data pelatihan, serta memungkinkan eksekusi inferensi komputasi berkecepatan tinggi melalui operasi biner bitwise.</w:t>
      </w:r>
    </w:p>
    <w:p>
      <w:pPr>
        <w:spacing w:line="360" w:lineRule="auto" w:after="120"/>
        <w:ind w:firstLine="720"/>
        <w:jc w:val="both"/>
      </w:pPr>
      <w:r>
        <w:rPr>
          <w:rFonts w:ascii="Times New Roman" w:hAnsi="Times New Roman"/>
          <w:sz w:val="24"/>
        </w:rPr>
        <w:t>Dalam menghadapi tantangan ketimpangan kelas (class imbalance) di mana kelas klinis berisiko tinggi (Severe) hanya mencakup 4,066% dari total populasi, CatBoost menyediakan mekanisme pembelajaran peka biaya (Cost-Sensitive Learning). Mekanisme ini bekerja dengan mengonfigurasi parameter auto_class_weights='Balanced', yang secara otomatis menghitung faktor pembobotan penalti w_c untuk setiap kelas c berdasarkan rasio terbalik dari frekuensi kemunculannya, sebagaimana dirumuskan pada Persamaan (2.5):</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6480"/>
        <w:gridCol w:w="2160"/>
      </w:tblGrid>
      <w:tr>
        <w:tc>
          <w:tcPr>
            <w:tcW w:type="dxa" w:w="3968"/>
          </w:tcPr>
          <w:p>
            <w:pPr>
              <w:spacing w:before="80" w:after="80" w:line="276" w:lineRule="auto"/>
              <w:jc w:val="center"/>
            </w:pPr>
            <w:r>
              <w:rPr>
                <w:rFonts w:ascii="Times New Roman" w:hAnsi="Times New Roman"/>
                <w:b/>
                <w:sz w:val="23"/>
              </w:rPr>
              <w:t>w_c = N / (K * N_c)</w:t>
            </w:r>
          </w:p>
        </w:tc>
        <w:tc>
          <w:tcPr>
            <w:tcW w:type="dxa" w:w="3968"/>
          </w:tcPr>
          <w:p>
            <w:pPr>
              <w:spacing w:before="80" w:after="80" w:line="276" w:lineRule="auto"/>
              <w:jc w:val="right"/>
            </w:pPr>
            <w:r>
              <w:rPr>
                <w:rFonts w:ascii="Times New Roman" w:hAnsi="Times New Roman"/>
                <w:b/>
                <w:sz w:val="22"/>
              </w:rPr>
              <w:t>(Persamaan 2.5)</w:t>
            </w:r>
          </w:p>
        </w:tc>
      </w:tr>
    </w:tbl>
    <w:p>
      <w:pPr>
        <w:spacing w:before="40" w:after="160" w:line="276" w:lineRule="auto"/>
        <w:ind w:left="576" w:firstLine="0"/>
      </w:pPr>
      <w:r>
        <w:rPr>
          <w:rFonts w:ascii="Times New Roman" w:hAnsi="Times New Roman"/>
          <w:i/>
          <w:sz w:val="21"/>
        </w:rPr>
        <w:t>di mana:</w:t>
        <w:br/>
      </w:r>
      <w:r>
        <w:rPr>
          <w:rFonts w:ascii="Times New Roman" w:hAnsi="Times New Roman"/>
          <w:b/>
          <w:sz w:val="21"/>
        </w:rPr>
        <w:t xml:space="preserve">  •  w_c</w:t>
      </w:r>
      <w:r>
        <w:rPr>
          <w:rFonts w:ascii="Times New Roman" w:hAnsi="Times New Roman"/>
          <w:sz w:val="21"/>
        </w:rPr>
        <w:t xml:space="preserve"> = </w:t>
      </w:r>
      <w:r>
        <w:rPr>
          <w:rFonts w:ascii="Times New Roman" w:hAnsi="Times New Roman"/>
          <w:sz w:val="21"/>
        </w:rPr>
        <w:t>bobot penalti kesalahan klasifikasi untuk kelas target risiko c</w:t>
        <w:br/>
      </w:r>
      <w:r>
        <w:rPr>
          <w:rFonts w:ascii="Times New Roman" w:hAnsi="Times New Roman"/>
          <w:b/>
          <w:sz w:val="21"/>
        </w:rPr>
        <w:t xml:space="preserve">  •  N</w:t>
      </w:r>
      <w:r>
        <w:rPr>
          <w:rFonts w:ascii="Times New Roman" w:hAnsi="Times New Roman"/>
          <w:sz w:val="21"/>
        </w:rPr>
        <w:t xml:space="preserve"> = </w:t>
      </w:r>
      <w:r>
        <w:rPr>
          <w:rFonts w:ascii="Times New Roman" w:hAnsi="Times New Roman"/>
          <w:sz w:val="21"/>
        </w:rPr>
        <w:t>total jumlah seluruh sampel data pelatihan (N = 80.000)</w:t>
        <w:br/>
      </w:r>
      <w:r>
        <w:rPr>
          <w:rFonts w:ascii="Times New Roman" w:hAnsi="Times New Roman"/>
          <w:b/>
          <w:sz w:val="21"/>
        </w:rPr>
        <w:t xml:space="preserve">  •  K</w:t>
      </w:r>
      <w:r>
        <w:rPr>
          <w:rFonts w:ascii="Times New Roman" w:hAnsi="Times New Roman"/>
          <w:sz w:val="21"/>
        </w:rPr>
        <w:t xml:space="preserve"> = </w:t>
      </w:r>
      <w:r>
        <w:rPr>
          <w:rFonts w:ascii="Times New Roman" w:hAnsi="Times New Roman"/>
          <w:sz w:val="21"/>
        </w:rPr>
        <w:t>jumlah kategori kelas target (K = 4)</w:t>
        <w:br/>
      </w:r>
      <w:r>
        <w:rPr>
          <w:rFonts w:ascii="Times New Roman" w:hAnsi="Times New Roman"/>
          <w:b/>
          <w:sz w:val="21"/>
        </w:rPr>
        <w:t xml:space="preserve">  •  N_c</w:t>
      </w:r>
      <w:r>
        <w:rPr>
          <w:rFonts w:ascii="Times New Roman" w:hAnsi="Times New Roman"/>
          <w:sz w:val="21"/>
        </w:rPr>
        <w:t xml:space="preserve"> = </w:t>
      </w:r>
      <w:r>
        <w:rPr>
          <w:rFonts w:ascii="Times New Roman" w:hAnsi="Times New Roman"/>
          <w:sz w:val="21"/>
        </w:rPr>
        <w:t>frekuensi jumlah sampel observasi yang termasuk ke dalam kelas target c</w:t>
      </w:r>
    </w:p>
    <w:p>
      <w:pPr>
        <w:spacing w:line="360" w:lineRule="auto" w:after="120"/>
        <w:ind w:firstLine="720"/>
        <w:jc w:val="both"/>
      </w:pPr>
      <w:r>
        <w:rPr>
          <w:rFonts w:ascii="Times New Roman" w:hAnsi="Times New Roman"/>
          <w:sz w:val="24"/>
        </w:rPr>
        <w:t>Melalui formulasi Persamaan (2.5), sampel yang berasal dari kelas minoritas Severe (N_Severe = 3.253 pada data latih) secara otomatis memperoleh bobot penalti w_Severe = 6,1485, sedangkan kelas mayoritas Healthy (N_Healthy = 43.325) memperoleh bobot penalti w_Healthy = 0,4616. Rasio penalti ini memberikan beban hukuman kerugian 13,32 kali lipat lebih berat terhadap kegagalan mendeteksi pasien berisiko Severe, sehingga mendorong model memprioritaskan sensitivitas klinis tanpa memerlukan manipulasi data sintetis seperti SMOTE yang berisiko merusak manifold distribusi alami data (Wolak et al., 2025).</w:t>
      </w:r>
    </w:p>
    <w:p>
      <w:pPr>
        <w:spacing w:line="360" w:lineRule="auto" w:after="120"/>
        <w:ind w:firstLine="720"/>
        <w:jc w:val="both"/>
      </w:pPr>
      <w:r>
        <w:rPr>
          <w:rFonts w:ascii="Times New Roman" w:hAnsi="Times New Roman"/>
          <w:sz w:val="24"/>
        </w:rPr>
        <w:t>Keunggulan paling revolusioner dari CatBoost terletak pada kemampuannya mengolah variabel kategorikal heterogen secara alami (native) tanpa memerlukan prosedur One-Hot Encoding manual. Pada algoritma konvensional, One-Hot Encoding memecah satu variabel teks menjadi puluhan kolom biner tiruan yang memicu lonjakan dimensi data (curse of dimensionality), meningkatkan beban memori kerja secara drastis, serta memecah pemahaman semantik variabel asli. Sebaliknya, CatBoost menerapkan teknik transformasi statistik target terurut yang disebut Ordered Target Statistics (OTS). Pada teknik ini, dataset diacak secara acak melalui fungsi permutasi acak σ = (σ_1, ..., σ_n). Transformasi nilai kategori x_{σ_p, k} pada baris urutan ke-p menjadi representasi angka kontinu x̂_{σ_p, k} dihitung secara eksklusif hanya berdasarkan akumulasi nilai target dari sampel-sampel yang berada pada urutan sebelumnya (j &lt; p), sebagaimana diformulasikan secara matematis pada Persamaan (2.6) (Prokhorenkova et al., 2018):</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6480"/>
        <w:gridCol w:w="2160"/>
      </w:tblGrid>
      <w:tr>
        <w:tc>
          <w:tcPr>
            <w:tcW w:type="dxa" w:w="3968"/>
          </w:tcPr>
          <w:p>
            <w:pPr>
              <w:spacing w:before="80" w:after="80" w:line="276" w:lineRule="auto"/>
              <w:jc w:val="center"/>
            </w:pPr>
            <w:r>
              <w:rPr>
                <w:rFonts w:ascii="Times New Roman" w:hAnsi="Times New Roman"/>
                <w:b/>
                <w:sz w:val="23"/>
              </w:rPr>
              <w:t>x̂_{σ_p, k} = [ ∑_{j=1}^{p-1} I(x_{σ_j, k} = x_{σ_p, k}) · y_{σ_j} + a · P ] / [ ∑_{j=1}^{p-1} I(x_{σ_j, k} = x_{σ_p, k}) + a ]</w:t>
            </w:r>
          </w:p>
        </w:tc>
        <w:tc>
          <w:tcPr>
            <w:tcW w:type="dxa" w:w="3968"/>
          </w:tcPr>
          <w:p>
            <w:pPr>
              <w:spacing w:before="80" w:after="80" w:line="276" w:lineRule="auto"/>
              <w:jc w:val="right"/>
            </w:pPr>
            <w:r>
              <w:rPr>
                <w:rFonts w:ascii="Times New Roman" w:hAnsi="Times New Roman"/>
                <w:b/>
                <w:sz w:val="22"/>
              </w:rPr>
              <w:t>(Persamaan 2.6)</w:t>
            </w:r>
          </w:p>
        </w:tc>
      </w:tr>
    </w:tbl>
    <w:p>
      <w:pPr>
        <w:spacing w:before="40" w:after="160" w:line="276" w:lineRule="auto"/>
        <w:ind w:left="576" w:firstLine="0"/>
      </w:pPr>
      <w:r>
        <w:rPr>
          <w:rFonts w:ascii="Times New Roman" w:hAnsi="Times New Roman"/>
          <w:i/>
          <w:sz w:val="21"/>
        </w:rPr>
        <w:t>di mana:</w:t>
        <w:br/>
      </w:r>
      <w:r>
        <w:rPr>
          <w:rFonts w:ascii="Times New Roman" w:hAnsi="Times New Roman"/>
          <w:b/>
          <w:sz w:val="21"/>
        </w:rPr>
        <w:t xml:space="preserve">  •  x̂_{σ_p, k}</w:t>
      </w:r>
      <w:r>
        <w:rPr>
          <w:rFonts w:ascii="Times New Roman" w:hAnsi="Times New Roman"/>
          <w:sz w:val="21"/>
        </w:rPr>
        <w:t xml:space="preserve"> = </w:t>
      </w:r>
      <w:r>
        <w:rPr>
          <w:rFonts w:ascii="Times New Roman" w:hAnsi="Times New Roman"/>
          <w:sz w:val="21"/>
        </w:rPr>
        <w:t>nilai transformasi numerik kontinu dari variabel kategori pada observasi urutan ke-p</w:t>
        <w:br/>
      </w:r>
      <w:r>
        <w:rPr>
          <w:rFonts w:ascii="Times New Roman" w:hAnsi="Times New Roman"/>
          <w:b/>
          <w:sz w:val="21"/>
        </w:rPr>
        <w:t xml:space="preserve">  •  σ</w:t>
      </w:r>
      <w:r>
        <w:rPr>
          <w:rFonts w:ascii="Times New Roman" w:hAnsi="Times New Roman"/>
          <w:sz w:val="21"/>
        </w:rPr>
        <w:t xml:space="preserve"> = </w:t>
      </w:r>
      <w:r>
        <w:rPr>
          <w:rFonts w:ascii="Times New Roman" w:hAnsi="Times New Roman"/>
          <w:sz w:val="21"/>
        </w:rPr>
        <w:t>vektor permutasi acak dari indeks observasi dataset pelatihan</w:t>
        <w:br/>
      </w:r>
      <w:r>
        <w:rPr>
          <w:rFonts w:ascii="Times New Roman" w:hAnsi="Times New Roman"/>
          <w:b/>
          <w:sz w:val="21"/>
        </w:rPr>
        <w:t xml:space="preserve">  •  I(·)</w:t>
      </w:r>
      <w:r>
        <w:rPr>
          <w:rFonts w:ascii="Times New Roman" w:hAnsi="Times New Roman"/>
          <w:sz w:val="21"/>
        </w:rPr>
        <w:t xml:space="preserve"> = </w:t>
      </w:r>
      <w:r>
        <w:rPr>
          <w:rFonts w:ascii="Times New Roman" w:hAnsi="Times New Roman"/>
          <w:sz w:val="21"/>
        </w:rPr>
        <w:t>fungsi indikator bernilai 1 jika kategori sampel historis sama dengan sampel saat ini, dan 0 jika berbeda</w:t>
        <w:br/>
      </w:r>
      <w:r>
        <w:rPr>
          <w:rFonts w:ascii="Times New Roman" w:hAnsi="Times New Roman"/>
          <w:b/>
          <w:sz w:val="21"/>
        </w:rPr>
        <w:t xml:space="preserve">  •  y_{σ_j}</w:t>
      </w:r>
      <w:r>
        <w:rPr>
          <w:rFonts w:ascii="Times New Roman" w:hAnsi="Times New Roman"/>
          <w:sz w:val="21"/>
        </w:rPr>
        <w:t xml:space="preserve"> = </w:t>
      </w:r>
      <w:r>
        <w:rPr>
          <w:rFonts w:ascii="Times New Roman" w:hAnsi="Times New Roman"/>
          <w:sz w:val="21"/>
        </w:rPr>
        <w:t>nilai target dari observasi terdahulu pada urutan permutasi (j &lt; p)</w:t>
        <w:br/>
      </w:r>
      <w:r>
        <w:rPr>
          <w:rFonts w:ascii="Times New Roman" w:hAnsi="Times New Roman"/>
          <w:b/>
          <w:sz w:val="21"/>
        </w:rPr>
        <w:t xml:space="preserve">  •  P</w:t>
      </w:r>
      <w:r>
        <w:rPr>
          <w:rFonts w:ascii="Times New Roman" w:hAnsi="Times New Roman"/>
          <w:sz w:val="21"/>
        </w:rPr>
        <w:t xml:space="preserve"> = </w:t>
      </w:r>
      <w:r>
        <w:rPr>
          <w:rFonts w:ascii="Times New Roman" w:hAnsi="Times New Roman"/>
          <w:sz w:val="21"/>
        </w:rPr>
        <w:t>nilai prior acuan global, yakni rata-rata nilai target di seluruh dataset pelatihan</w:t>
        <w:br/>
      </w:r>
      <w:r>
        <w:rPr>
          <w:rFonts w:ascii="Times New Roman" w:hAnsi="Times New Roman"/>
          <w:b/>
          <w:sz w:val="21"/>
        </w:rPr>
        <w:t xml:space="preserve">  •  a</w:t>
      </w:r>
      <w:r>
        <w:rPr>
          <w:rFonts w:ascii="Times New Roman" w:hAnsi="Times New Roman"/>
          <w:sz w:val="21"/>
        </w:rPr>
        <w:t xml:space="preserve"> = </w:t>
      </w:r>
      <w:r>
        <w:rPr>
          <w:rFonts w:ascii="Times New Roman" w:hAnsi="Times New Roman"/>
          <w:sz w:val="21"/>
        </w:rPr>
        <w:t>parameter bobot penghalusan prior (smoothing weight, bernilai konstan a = 1)</w:t>
      </w:r>
    </w:p>
    <w:p>
      <w:pPr>
        <w:spacing w:line="360" w:lineRule="auto" w:after="120"/>
        <w:ind w:firstLine="720"/>
        <w:jc w:val="both"/>
      </w:pPr>
      <w:r>
        <w:rPr>
          <w:rFonts w:ascii="Times New Roman" w:hAnsi="Times New Roman"/>
          <w:sz w:val="24"/>
        </w:rPr>
        <w:t>Dalam implementasi praktis perhitungan manual (sebagaimana disimulasikan pada Bab III), formulasi operasional Persamaan (2.6) dapat dinyatakan secara ringkas sebagai rasio antara total target historis ditambah pembobotan prior terhadap frekuensi kemunculan historis: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6480"/>
        <w:gridCol w:w="2160"/>
      </w:tblGrid>
      <w:tr>
        <w:tc>
          <w:tcPr>
            <w:tcW w:type="dxa" w:w="3968"/>
          </w:tcPr>
          <w:p>
            <w:pPr>
              <w:spacing w:before="80" w:after="80" w:line="276" w:lineRule="auto"/>
              <w:jc w:val="center"/>
            </w:pPr>
            <w:r>
              <w:rPr>
                <w:rFonts w:ascii="Times New Roman" w:hAnsi="Times New Roman"/>
                <w:b/>
                <w:sz w:val="23"/>
              </w:rPr>
              <w:t>x̂_k = (∑ y_historis + a · P) / (Count_historis + a)</w:t>
            </w:r>
          </w:p>
        </w:tc>
        <w:tc>
          <w:tcPr>
            <w:tcW w:type="dxa" w:w="3968"/>
          </w:tcPr>
          <w:p>
            <w:pPr>
              <w:spacing w:before="80" w:after="80" w:line="276" w:lineRule="auto"/>
              <w:jc w:val="right"/>
            </w:pPr>
            <w:r>
              <w:rPr>
                <w:rFonts w:ascii="Times New Roman" w:hAnsi="Times New Roman"/>
                <w:b/>
                <w:sz w:val="22"/>
              </w:rPr>
              <w:t>(Persamaan 2.6b)</w:t>
            </w:r>
          </w:p>
        </w:tc>
      </w:tr>
    </w:tbl>
    <w:p>
      <w:pPr>
        <w:spacing w:before="40" w:after="160" w:line="276" w:lineRule="auto"/>
        <w:ind w:left="576" w:firstLine="0"/>
      </w:pPr>
      <w:r>
        <w:rPr>
          <w:rFonts w:ascii="Times New Roman" w:hAnsi="Times New Roman"/>
          <w:i/>
          <w:sz w:val="21"/>
        </w:rPr>
        <w:t>di mana:</w:t>
        <w:br/>
      </w:r>
      <w:r>
        <w:rPr>
          <w:rFonts w:ascii="Times New Roman" w:hAnsi="Times New Roman"/>
          <w:b/>
          <w:sz w:val="21"/>
        </w:rPr>
        <w:t xml:space="preserve">  •  x̂_k</w:t>
      </w:r>
      <w:r>
        <w:rPr>
          <w:rFonts w:ascii="Times New Roman" w:hAnsi="Times New Roman"/>
          <w:sz w:val="21"/>
        </w:rPr>
        <w:t xml:space="preserve"> = </w:t>
      </w:r>
      <w:r>
        <w:rPr>
          <w:rFonts w:ascii="Times New Roman" w:hAnsi="Times New Roman"/>
          <w:sz w:val="21"/>
        </w:rPr>
        <w:t>nilai numerik terproses dari fitur kategori</w:t>
        <w:br/>
      </w:r>
      <w:r>
        <w:rPr>
          <w:rFonts w:ascii="Times New Roman" w:hAnsi="Times New Roman"/>
          <w:b/>
          <w:sz w:val="21"/>
        </w:rPr>
        <w:t xml:space="preserve">  •  ∑ y_historis</w:t>
      </w:r>
      <w:r>
        <w:rPr>
          <w:rFonts w:ascii="Times New Roman" w:hAnsi="Times New Roman"/>
          <w:sz w:val="21"/>
        </w:rPr>
        <w:t xml:space="preserve"> = </w:t>
      </w:r>
      <w:r>
        <w:rPr>
          <w:rFonts w:ascii="Times New Roman" w:hAnsi="Times New Roman"/>
          <w:sz w:val="21"/>
        </w:rPr>
        <w:t>akumulasi nilai target pada kemunculan kategori yang sama pada data terdahulu</w:t>
        <w:br/>
      </w:r>
      <w:r>
        <w:rPr>
          <w:rFonts w:ascii="Times New Roman" w:hAnsi="Times New Roman"/>
          <w:b/>
          <w:sz w:val="21"/>
        </w:rPr>
        <w:t xml:space="preserve">  •  Count_historis</w:t>
      </w:r>
      <w:r>
        <w:rPr>
          <w:rFonts w:ascii="Times New Roman" w:hAnsi="Times New Roman"/>
          <w:sz w:val="21"/>
        </w:rPr>
        <w:t xml:space="preserve"> = </w:t>
      </w:r>
      <w:r>
        <w:rPr>
          <w:rFonts w:ascii="Times New Roman" w:hAnsi="Times New Roman"/>
          <w:sz w:val="21"/>
        </w:rPr>
        <w:t>frekuensi kemunculan kategori serupa terdahulu dalam permutasi data</w:t>
        <w:br/>
      </w:r>
      <w:r>
        <w:rPr>
          <w:rFonts w:ascii="Times New Roman" w:hAnsi="Times New Roman"/>
          <w:b/>
          <w:sz w:val="21"/>
        </w:rPr>
        <w:t xml:space="preserve">  •  P</w:t>
      </w:r>
      <w:r>
        <w:rPr>
          <w:rFonts w:ascii="Times New Roman" w:hAnsi="Times New Roman"/>
          <w:sz w:val="21"/>
        </w:rPr>
        <w:t xml:space="preserve"> = </w:t>
      </w:r>
      <w:r>
        <w:rPr>
          <w:rFonts w:ascii="Times New Roman" w:hAnsi="Times New Roman"/>
          <w:sz w:val="21"/>
        </w:rPr>
        <w:t>prior global rata-rata nilai target</w:t>
        <w:br/>
      </w:r>
      <w:r>
        <w:rPr>
          <w:rFonts w:ascii="Times New Roman" w:hAnsi="Times New Roman"/>
          <w:b/>
          <w:sz w:val="21"/>
        </w:rPr>
        <w:t xml:space="preserve">  •  a</w:t>
      </w:r>
      <w:r>
        <w:rPr>
          <w:rFonts w:ascii="Times New Roman" w:hAnsi="Times New Roman"/>
          <w:sz w:val="21"/>
        </w:rPr>
        <w:t xml:space="preserve"> = </w:t>
      </w:r>
      <w:r>
        <w:rPr>
          <w:rFonts w:ascii="Times New Roman" w:hAnsi="Times New Roman"/>
          <w:sz w:val="21"/>
        </w:rPr>
        <w:t>bobot prioritas penghalusan (a = 1)</w:t>
      </w:r>
    </w:p>
    <w:p>
      <w:pPr>
        <w:spacing w:line="360" w:lineRule="auto" w:after="120"/>
        <w:ind w:firstLine="720"/>
        <w:jc w:val="both"/>
      </w:pPr>
      <w:r>
        <w:rPr>
          <w:rFonts w:ascii="Times New Roman" w:hAnsi="Times New Roman"/>
          <w:sz w:val="24"/>
        </w:rPr>
        <w:t>Pada klasifikasi multi-kelas empat tingkatan risiko (Healthy, Mild, Moderate, Severe), CatBoost menerapkan mekanisme OTS secara paralel dengan skema biner One-vs-All untuk masing-masing kelas target. Karena kalkulasi statistik pada sampel ke-p sama sekali tidak melibatkan label target dari sampel ke-p itu sendiri maupun sampel sesudahnya, prinsip Ordered Target Statistics sepenuhnya mengeliminasi fenomena kebocoran target (target leakage) dan menghasilkan estimasi fitur kategori yang unbiased (Wu et al., 2025).</w:t>
      </w:r>
    </w:p>
    <w:p>
      <w:pPr>
        <w:spacing w:line="360" w:lineRule="auto" w:after="120"/>
        <w:ind w:firstLine="720"/>
        <w:jc w:val="both"/>
      </w:pPr>
      <w:r>
        <w:rPr>
          <w:rFonts w:ascii="Times New Roman" w:hAnsi="Times New Roman"/>
          <w:sz w:val="24"/>
        </w:rPr>
        <w:t>Dalam proses pelatihan berulang (boosting iterations), fungsi kerugian multi-class cross-entropy berbobot penalti kelas diminimalkan melalui pendekatan optimasi gradien. Fungsi objektif kerugian CatBoost yang dioptimalkan dirumuskan pada Persamaan (2.7):</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6480"/>
        <w:gridCol w:w="2160"/>
      </w:tblGrid>
      <w:tr>
        <w:tc>
          <w:tcPr>
            <w:tcW w:type="dxa" w:w="3968"/>
          </w:tcPr>
          <w:p>
            <w:pPr>
              <w:spacing w:before="80" w:after="80" w:line="276" w:lineRule="auto"/>
              <w:jc w:val="center"/>
            </w:pPr>
            <w:r>
              <w:rPr>
                <w:rFonts w:ascii="Times New Roman" w:hAnsi="Times New Roman"/>
                <w:b/>
                <w:sz w:val="23"/>
              </w:rPr>
              <w:t>L_CatBoost = - (1 / N) * ∑_{i=1}^N ∑_{c=1}^K w_c · y_{i,c} · ln [ exp(F_c(x_i)) / ∑_{j=1}^K exp(F_j(x_i)) ]</w:t>
            </w:r>
          </w:p>
        </w:tc>
        <w:tc>
          <w:tcPr>
            <w:tcW w:type="dxa" w:w="3968"/>
          </w:tcPr>
          <w:p>
            <w:pPr>
              <w:spacing w:before="80" w:after="80" w:line="276" w:lineRule="auto"/>
              <w:jc w:val="right"/>
            </w:pPr>
            <w:r>
              <w:rPr>
                <w:rFonts w:ascii="Times New Roman" w:hAnsi="Times New Roman"/>
                <w:b/>
                <w:sz w:val="22"/>
              </w:rPr>
              <w:t>(Persamaan 2.7)</w:t>
            </w:r>
          </w:p>
        </w:tc>
      </w:tr>
    </w:tbl>
    <w:p>
      <w:pPr>
        <w:spacing w:before="40" w:after="160" w:line="276" w:lineRule="auto"/>
        <w:ind w:left="576" w:firstLine="0"/>
      </w:pPr>
      <w:r>
        <w:rPr>
          <w:rFonts w:ascii="Times New Roman" w:hAnsi="Times New Roman"/>
          <w:i/>
          <w:sz w:val="21"/>
        </w:rPr>
        <w:t>di mana:</w:t>
        <w:br/>
      </w:r>
      <w:r>
        <w:rPr>
          <w:rFonts w:ascii="Times New Roman" w:hAnsi="Times New Roman"/>
          <w:b/>
          <w:sz w:val="21"/>
        </w:rPr>
        <w:t xml:space="preserve">  •  L_CatBoost</w:t>
      </w:r>
      <w:r>
        <w:rPr>
          <w:rFonts w:ascii="Times New Roman" w:hAnsi="Times New Roman"/>
          <w:sz w:val="21"/>
        </w:rPr>
        <w:t xml:space="preserve"> = </w:t>
      </w:r>
      <w:r>
        <w:rPr>
          <w:rFonts w:ascii="Times New Roman" w:hAnsi="Times New Roman"/>
          <w:sz w:val="21"/>
        </w:rPr>
        <w:t>fungsi kerugian cross-entropy terbobot yang diminimalkan oleh algoritma</w:t>
        <w:br/>
      </w:r>
      <w:r>
        <w:rPr>
          <w:rFonts w:ascii="Times New Roman" w:hAnsi="Times New Roman"/>
          <w:b/>
          <w:sz w:val="21"/>
        </w:rPr>
        <w:t xml:space="preserve">  •  w_c</w:t>
      </w:r>
      <w:r>
        <w:rPr>
          <w:rFonts w:ascii="Times New Roman" w:hAnsi="Times New Roman"/>
          <w:sz w:val="21"/>
        </w:rPr>
        <w:t xml:space="preserve"> = </w:t>
      </w:r>
      <w:r>
        <w:rPr>
          <w:rFonts w:ascii="Times New Roman" w:hAnsi="Times New Roman"/>
          <w:sz w:val="21"/>
        </w:rPr>
        <w:t>bobot penalti kelas cost-sensitive untuk kelas c sesuai Persamaan (2.5)</w:t>
        <w:br/>
      </w:r>
      <w:r>
        <w:rPr>
          <w:rFonts w:ascii="Times New Roman" w:hAnsi="Times New Roman"/>
          <w:b/>
          <w:sz w:val="21"/>
        </w:rPr>
        <w:t xml:space="preserve">  •  F_c(x_i)</w:t>
      </w:r>
      <w:r>
        <w:rPr>
          <w:rFonts w:ascii="Times New Roman" w:hAnsi="Times New Roman"/>
          <w:sz w:val="21"/>
        </w:rPr>
        <w:t xml:space="preserve"> = </w:t>
      </w:r>
      <w:r>
        <w:rPr>
          <w:rFonts w:ascii="Times New Roman" w:hAnsi="Times New Roman"/>
          <w:sz w:val="21"/>
        </w:rPr>
        <w:t>skor margin luaran mentah (raw logit margin) model ansambel untuk kelas c pada observasi x_i</w:t>
        <w:br/>
      </w:r>
      <w:r>
        <w:rPr>
          <w:rFonts w:ascii="Times New Roman" w:hAnsi="Times New Roman"/>
          <w:b/>
          <w:sz w:val="21"/>
        </w:rPr>
        <w:t xml:space="preserve">  •  K</w:t>
      </w:r>
      <w:r>
        <w:rPr>
          <w:rFonts w:ascii="Times New Roman" w:hAnsi="Times New Roman"/>
          <w:sz w:val="21"/>
        </w:rPr>
        <w:t xml:space="preserve"> = </w:t>
      </w:r>
      <w:r>
        <w:rPr>
          <w:rFonts w:ascii="Times New Roman" w:hAnsi="Times New Roman"/>
          <w:sz w:val="21"/>
        </w:rPr>
        <w:t>jumlah total tingkatan kelas risiko (K = 4)</w:t>
      </w:r>
    </w:p>
    <w:p>
      <w:pPr>
        <w:spacing w:line="360" w:lineRule="auto" w:after="120"/>
        <w:ind w:firstLine="720"/>
        <w:jc w:val="both"/>
      </w:pPr>
      <w:r>
        <w:rPr>
          <w:rFonts w:ascii="Times New Roman" w:hAnsi="Times New Roman"/>
          <w:sz w:val="24"/>
        </w:rPr>
        <w:t>Pada setiap tahapan boosting ke-t, pohon keputusan baru dilatih untuk memprediksi nilai gradien residual negatif g_{i,c}^t dari fungsi kerugian terhadap skor margin prediksi saat ini, sebagaimana dirumuskan pada Persamaan (2.8):</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6480"/>
        <w:gridCol w:w="2160"/>
      </w:tblGrid>
      <w:tr>
        <w:tc>
          <w:tcPr>
            <w:tcW w:type="dxa" w:w="3968"/>
          </w:tcPr>
          <w:p>
            <w:pPr>
              <w:spacing w:before="80" w:after="80" w:line="276" w:lineRule="auto"/>
              <w:jc w:val="center"/>
            </w:pPr>
            <w:r>
              <w:rPr>
                <w:rFonts w:ascii="Times New Roman" w:hAnsi="Times New Roman"/>
                <w:b/>
                <w:sz w:val="23"/>
              </w:rPr>
              <w:t>g_{i,c}^t = - [ ∂ L(y_i, F^{t-1}(x_i)) / ∂ F_c(x_i) ] = w_c · y_{i,c} - p̂_{i,c}^{t-1} · ∑_{j=1}^K w_j y_{i,j}</w:t>
            </w:r>
          </w:p>
        </w:tc>
        <w:tc>
          <w:tcPr>
            <w:tcW w:type="dxa" w:w="3968"/>
          </w:tcPr>
          <w:p>
            <w:pPr>
              <w:spacing w:before="80" w:after="80" w:line="276" w:lineRule="auto"/>
              <w:jc w:val="right"/>
            </w:pPr>
            <w:r>
              <w:rPr>
                <w:rFonts w:ascii="Times New Roman" w:hAnsi="Times New Roman"/>
                <w:b/>
                <w:sz w:val="22"/>
              </w:rPr>
              <w:t>(Persamaan 2.8)</w:t>
            </w:r>
          </w:p>
        </w:tc>
      </w:tr>
    </w:tbl>
    <w:p>
      <w:pPr>
        <w:spacing w:before="40" w:after="160" w:line="276" w:lineRule="auto"/>
        <w:ind w:left="576" w:firstLine="0"/>
      </w:pPr>
      <w:r>
        <w:rPr>
          <w:rFonts w:ascii="Times New Roman" w:hAnsi="Times New Roman"/>
          <w:i/>
          <w:sz w:val="21"/>
        </w:rPr>
        <w:t>di mana:</w:t>
        <w:br/>
      </w:r>
      <w:r>
        <w:rPr>
          <w:rFonts w:ascii="Times New Roman" w:hAnsi="Times New Roman"/>
          <w:b/>
          <w:sz w:val="21"/>
        </w:rPr>
        <w:t xml:space="preserve">  •  g_{i,c}^t</w:t>
      </w:r>
      <w:r>
        <w:rPr>
          <w:rFonts w:ascii="Times New Roman" w:hAnsi="Times New Roman"/>
          <w:sz w:val="21"/>
        </w:rPr>
        <w:t xml:space="preserve"> = </w:t>
      </w:r>
      <w:r>
        <w:rPr>
          <w:rFonts w:ascii="Times New Roman" w:hAnsi="Times New Roman"/>
          <w:sz w:val="21"/>
        </w:rPr>
        <w:t>nilai gradien negatif residual untuk observasi i pada kelas c di iterasi ke-t</w:t>
        <w:br/>
      </w:r>
      <w:r>
        <w:rPr>
          <w:rFonts w:ascii="Times New Roman" w:hAnsi="Times New Roman"/>
          <w:b/>
          <w:sz w:val="21"/>
        </w:rPr>
        <w:t xml:space="preserve">  •  F^{t-1}(x_i)</w:t>
      </w:r>
      <w:r>
        <w:rPr>
          <w:rFonts w:ascii="Times New Roman" w:hAnsi="Times New Roman"/>
          <w:sz w:val="21"/>
        </w:rPr>
        <w:t xml:space="preserve"> = </w:t>
      </w:r>
      <w:r>
        <w:rPr>
          <w:rFonts w:ascii="Times New Roman" w:hAnsi="Times New Roman"/>
          <w:sz w:val="21"/>
        </w:rPr>
        <w:t>skor akumulasi ansambel pohon keputusan hingga iterasi ke-(t-1)</w:t>
        <w:br/>
      </w:r>
      <w:r>
        <w:rPr>
          <w:rFonts w:ascii="Times New Roman" w:hAnsi="Times New Roman"/>
          <w:b/>
          <w:sz w:val="21"/>
        </w:rPr>
        <w:t xml:space="preserve">  •  p̂_{i,c}^{t-1}</w:t>
      </w:r>
      <w:r>
        <w:rPr>
          <w:rFonts w:ascii="Times New Roman" w:hAnsi="Times New Roman"/>
          <w:sz w:val="21"/>
        </w:rPr>
        <w:t xml:space="preserve"> = </w:t>
      </w:r>
      <w:r>
        <w:rPr>
          <w:rFonts w:ascii="Times New Roman" w:hAnsi="Times New Roman"/>
          <w:sz w:val="21"/>
        </w:rPr>
        <w:t>estimasi probabilitas softmax kelas c pada iterasi ke-(t-1)</w:t>
      </w:r>
    </w:p>
    <w:p>
      <w:pPr>
        <w:spacing w:line="360" w:lineRule="auto" w:after="120"/>
        <w:ind w:firstLine="720"/>
        <w:jc w:val="both"/>
      </w:pPr>
      <w:r>
        <w:rPr>
          <w:rFonts w:ascii="Times New Roman" w:hAnsi="Times New Roman"/>
          <w:sz w:val="24"/>
        </w:rPr>
        <w:t>Untuk mengatasi pergeseran distribusi prediksi (prediction shift) yang sering dialami oleh algoritma boosting standar, CatBoost menerapkan Ordered Boosting. Pada mekanisme ini, gradien residual g_{i,c}^t untuk sampel observasi ke-i dihitung menggunakan model bayangan pendukung M_{i-1} yang dilatih secara eksklusif hanya pada subset data sebelum indeks ke-i dalam urutan permutasi. Setelah struktur cabang pohon oblivious terbentuk, nilai keluaran daun (leaf value) γ_{J, c}^t untuk setiap wilayah simpul daun J dihitung dengan menyertakan parameter regularisasi L2 (l2_leaf_reg = 3) guna mencegah lonjakan bobot ekstrem, sebagaimana dirumuskan pada Persamaan (2.9):</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6480"/>
        <w:gridCol w:w="2160"/>
      </w:tblGrid>
      <w:tr>
        <w:tc>
          <w:tcPr>
            <w:tcW w:type="dxa" w:w="3968"/>
          </w:tcPr>
          <w:p>
            <w:pPr>
              <w:spacing w:before="80" w:after="80" w:line="276" w:lineRule="auto"/>
              <w:jc w:val="center"/>
            </w:pPr>
            <w:r>
              <w:rPr>
                <w:rFonts w:ascii="Times New Roman" w:hAnsi="Times New Roman"/>
                <w:b/>
                <w:sz w:val="23"/>
              </w:rPr>
              <w:t>γ_{J, c}^t = [ ∑_{i ∈ R_J} g_{i,c}^t ] / [ ∑_{i ∈ R_J} h_{i,c}^t + λ ]</w:t>
            </w:r>
          </w:p>
        </w:tc>
        <w:tc>
          <w:tcPr>
            <w:tcW w:type="dxa" w:w="3968"/>
          </w:tcPr>
          <w:p>
            <w:pPr>
              <w:spacing w:before="80" w:after="80" w:line="276" w:lineRule="auto"/>
              <w:jc w:val="right"/>
            </w:pPr>
            <w:r>
              <w:rPr>
                <w:rFonts w:ascii="Times New Roman" w:hAnsi="Times New Roman"/>
                <w:b/>
                <w:sz w:val="22"/>
              </w:rPr>
              <w:t>(Persamaan 2.9)</w:t>
            </w:r>
          </w:p>
        </w:tc>
      </w:tr>
    </w:tbl>
    <w:p>
      <w:pPr>
        <w:spacing w:before="40" w:after="160" w:line="276" w:lineRule="auto"/>
        <w:ind w:left="576" w:firstLine="0"/>
      </w:pPr>
      <w:r>
        <w:rPr>
          <w:rFonts w:ascii="Times New Roman" w:hAnsi="Times New Roman"/>
          <w:i/>
          <w:sz w:val="21"/>
        </w:rPr>
        <w:t>di mana:</w:t>
        <w:br/>
      </w:r>
      <w:r>
        <w:rPr>
          <w:rFonts w:ascii="Times New Roman" w:hAnsi="Times New Roman"/>
          <w:b/>
          <w:sz w:val="21"/>
        </w:rPr>
        <w:t xml:space="preserve">  •  γ_{J, c}^t</w:t>
      </w:r>
      <w:r>
        <w:rPr>
          <w:rFonts w:ascii="Times New Roman" w:hAnsi="Times New Roman"/>
          <w:sz w:val="21"/>
        </w:rPr>
        <w:t xml:space="preserve"> = </w:t>
      </w:r>
      <w:r>
        <w:rPr>
          <w:rFonts w:ascii="Times New Roman" w:hAnsi="Times New Roman"/>
          <w:sz w:val="21"/>
        </w:rPr>
        <w:t>nilai penyesuaian bobot prediksi optimal pada daun simetris J untuk kelas c</w:t>
        <w:br/>
      </w:r>
      <w:r>
        <w:rPr>
          <w:rFonts w:ascii="Times New Roman" w:hAnsi="Times New Roman"/>
          <w:b/>
          <w:sz w:val="21"/>
        </w:rPr>
        <w:t xml:space="preserve">  •  R_J</w:t>
      </w:r>
      <w:r>
        <w:rPr>
          <w:rFonts w:ascii="Times New Roman" w:hAnsi="Times New Roman"/>
          <w:sz w:val="21"/>
        </w:rPr>
        <w:t xml:space="preserve"> = </w:t>
      </w:r>
      <w:r>
        <w:rPr>
          <w:rFonts w:ascii="Times New Roman" w:hAnsi="Times New Roman"/>
          <w:sz w:val="21"/>
        </w:rPr>
        <w:t>himpunan sampel observasi data latih yang terpartisi masuk ke dalam daun simetris J</w:t>
        <w:br/>
      </w:r>
      <w:r>
        <w:rPr>
          <w:rFonts w:ascii="Times New Roman" w:hAnsi="Times New Roman"/>
          <w:b/>
          <w:sz w:val="21"/>
        </w:rPr>
        <w:t xml:space="preserve">  •  g_{i,c}^t</w:t>
      </w:r>
      <w:r>
        <w:rPr>
          <w:rFonts w:ascii="Times New Roman" w:hAnsi="Times New Roman"/>
          <w:sz w:val="21"/>
        </w:rPr>
        <w:t xml:space="preserve"> = </w:t>
      </w:r>
      <w:r>
        <w:rPr>
          <w:rFonts w:ascii="Times New Roman" w:hAnsi="Times New Roman"/>
          <w:sz w:val="21"/>
        </w:rPr>
        <w:t>nilai gradien residual orde pertama sesuai Persamaan (2.8)</w:t>
        <w:br/>
      </w:r>
      <w:r>
        <w:rPr>
          <w:rFonts w:ascii="Times New Roman" w:hAnsi="Times New Roman"/>
          <w:b/>
          <w:sz w:val="21"/>
        </w:rPr>
        <w:t xml:space="preserve">  •  h_{i,c}^t</w:t>
      </w:r>
      <w:r>
        <w:rPr>
          <w:rFonts w:ascii="Times New Roman" w:hAnsi="Times New Roman"/>
          <w:sz w:val="21"/>
        </w:rPr>
        <w:t xml:space="preserve"> = </w:t>
      </w:r>
      <w:r>
        <w:rPr>
          <w:rFonts w:ascii="Times New Roman" w:hAnsi="Times New Roman"/>
          <w:sz w:val="21"/>
        </w:rPr>
        <w:t>nilai turunan kedua (Hessian matrix) dari fungsi kerugian</w:t>
        <w:br/>
      </w:r>
      <w:r>
        <w:rPr>
          <w:rFonts w:ascii="Times New Roman" w:hAnsi="Times New Roman"/>
          <w:b/>
          <w:sz w:val="21"/>
        </w:rPr>
        <w:t xml:space="preserve">  •  λ</w:t>
      </w:r>
      <w:r>
        <w:rPr>
          <w:rFonts w:ascii="Times New Roman" w:hAnsi="Times New Roman"/>
          <w:sz w:val="21"/>
        </w:rPr>
        <w:t xml:space="preserve"> = </w:t>
      </w:r>
      <w:r>
        <w:rPr>
          <w:rFonts w:ascii="Times New Roman" w:hAnsi="Times New Roman"/>
          <w:sz w:val="21"/>
        </w:rPr>
        <w:t>koefisien regularisasi L2 daun (l2_leaf_reg, dikonfigurasi sebesar 3.0)</w:t>
      </w:r>
    </w:p>
    <w:p>
      <w:pPr>
        <w:spacing w:line="360" w:lineRule="auto" w:after="120"/>
        <w:ind w:firstLine="720"/>
        <w:jc w:val="both"/>
      </w:pPr>
      <w:r>
        <w:rPr>
          <w:rFonts w:ascii="Times New Roman" w:hAnsi="Times New Roman"/>
          <w:sz w:val="24"/>
        </w:rPr>
        <w:t>Selanjutnya, skor margin prediksi akhir model ansambel untuk setiap kelas risiko c diakumulasikan secara bertahap dari iterasi t = 1 hingga iterasi maksimum T = 1.000 dengan dikalikan laju pembelajaran (learning rate η = 0,05), sebagaimana dinyatakan pada Persamaan (2.10):</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6480"/>
        <w:gridCol w:w="2160"/>
      </w:tblGrid>
      <w:tr>
        <w:tc>
          <w:tcPr>
            <w:tcW w:type="dxa" w:w="3968"/>
          </w:tcPr>
          <w:p>
            <w:pPr>
              <w:spacing w:before="80" w:after="80" w:line="276" w:lineRule="auto"/>
              <w:jc w:val="center"/>
            </w:pPr>
            <w:r>
              <w:rPr>
                <w:rFonts w:ascii="Times New Roman" w:hAnsi="Times New Roman"/>
                <w:b/>
                <w:sz w:val="23"/>
              </w:rPr>
              <w:t>F_c^T(x) = F_c^0(x) + ∑_{t=1}^T η · h_t(x; Θ_{t,c})</w:t>
            </w:r>
          </w:p>
        </w:tc>
        <w:tc>
          <w:tcPr>
            <w:tcW w:type="dxa" w:w="3968"/>
          </w:tcPr>
          <w:p>
            <w:pPr>
              <w:spacing w:before="80" w:after="80" w:line="276" w:lineRule="auto"/>
              <w:jc w:val="right"/>
            </w:pPr>
            <w:r>
              <w:rPr>
                <w:rFonts w:ascii="Times New Roman" w:hAnsi="Times New Roman"/>
                <w:b/>
                <w:sz w:val="22"/>
              </w:rPr>
              <w:t>(Persamaan 2.10)</w:t>
            </w:r>
          </w:p>
        </w:tc>
      </w:tr>
    </w:tbl>
    <w:p>
      <w:pPr>
        <w:spacing w:before="40" w:after="160" w:line="276" w:lineRule="auto"/>
        <w:ind w:left="576" w:firstLine="0"/>
      </w:pPr>
      <w:r>
        <w:rPr>
          <w:rFonts w:ascii="Times New Roman" w:hAnsi="Times New Roman"/>
          <w:i/>
          <w:sz w:val="21"/>
        </w:rPr>
        <w:t>di mana:</w:t>
        <w:br/>
      </w:r>
      <w:r>
        <w:rPr>
          <w:rFonts w:ascii="Times New Roman" w:hAnsi="Times New Roman"/>
          <w:b/>
          <w:sz w:val="21"/>
        </w:rPr>
        <w:t xml:space="preserve">  •  F_c^T(x)</w:t>
      </w:r>
      <w:r>
        <w:rPr>
          <w:rFonts w:ascii="Times New Roman" w:hAnsi="Times New Roman"/>
          <w:sz w:val="21"/>
        </w:rPr>
        <w:t xml:space="preserve"> = </w:t>
      </w:r>
      <w:r>
        <w:rPr>
          <w:rFonts w:ascii="Times New Roman" w:hAnsi="Times New Roman"/>
          <w:sz w:val="21"/>
        </w:rPr>
        <w:t>total skor margin prediksi mentah model ansambel untuk kelas c pada input x</w:t>
        <w:br/>
      </w:r>
      <w:r>
        <w:rPr>
          <w:rFonts w:ascii="Times New Roman" w:hAnsi="Times New Roman"/>
          <w:b/>
          <w:sz w:val="21"/>
        </w:rPr>
        <w:t xml:space="preserve">  •  F_c^0(x)</w:t>
      </w:r>
      <w:r>
        <w:rPr>
          <w:rFonts w:ascii="Times New Roman" w:hAnsi="Times New Roman"/>
          <w:sz w:val="21"/>
        </w:rPr>
        <w:t xml:space="preserve"> = </w:t>
      </w:r>
      <w:r>
        <w:rPr>
          <w:rFonts w:ascii="Times New Roman" w:hAnsi="Times New Roman"/>
          <w:sz w:val="21"/>
        </w:rPr>
        <w:t>skor inisialisasi awal model (bias dasar)</w:t>
        <w:br/>
      </w:r>
      <w:r>
        <w:rPr>
          <w:rFonts w:ascii="Times New Roman" w:hAnsi="Times New Roman"/>
          <w:b/>
          <w:sz w:val="21"/>
        </w:rPr>
        <w:t xml:space="preserve">  •  T</w:t>
      </w:r>
      <w:r>
        <w:rPr>
          <w:rFonts w:ascii="Times New Roman" w:hAnsi="Times New Roman"/>
          <w:sz w:val="21"/>
        </w:rPr>
        <w:t xml:space="preserve"> = </w:t>
      </w:r>
      <w:r>
        <w:rPr>
          <w:rFonts w:ascii="Times New Roman" w:hAnsi="Times New Roman"/>
          <w:sz w:val="21"/>
        </w:rPr>
        <w:t>jumlah total iterasi pohon keputusan (iterations = 1.000)</w:t>
        <w:br/>
      </w:r>
      <w:r>
        <w:rPr>
          <w:rFonts w:ascii="Times New Roman" w:hAnsi="Times New Roman"/>
          <w:b/>
          <w:sz w:val="21"/>
        </w:rPr>
        <w:t xml:space="preserve">  •  η</w:t>
      </w:r>
      <w:r>
        <w:rPr>
          <w:rFonts w:ascii="Times New Roman" w:hAnsi="Times New Roman"/>
          <w:sz w:val="21"/>
        </w:rPr>
        <w:t xml:space="preserve"> = </w:t>
      </w:r>
      <w:r>
        <w:rPr>
          <w:rFonts w:ascii="Times New Roman" w:hAnsi="Times New Roman"/>
          <w:sz w:val="21"/>
        </w:rPr>
        <w:t>laju pembelajaran (learning rate = 0,05)</w:t>
        <w:br/>
      </w:r>
      <w:r>
        <w:rPr>
          <w:rFonts w:ascii="Times New Roman" w:hAnsi="Times New Roman"/>
          <w:b/>
          <w:sz w:val="21"/>
        </w:rPr>
        <w:t xml:space="preserve">  •  h_t(x; Θ_{t,c})</w:t>
      </w:r>
      <w:r>
        <w:rPr>
          <w:rFonts w:ascii="Times New Roman" w:hAnsi="Times New Roman"/>
          <w:sz w:val="21"/>
        </w:rPr>
        <w:t xml:space="preserve"> = </w:t>
      </w:r>
      <w:r>
        <w:rPr>
          <w:rFonts w:ascii="Times New Roman" w:hAnsi="Times New Roman"/>
          <w:sz w:val="21"/>
        </w:rPr>
        <w:t>fungsi prediksi pohon simetris oblivious ke-t dengan parameter struktur Θ_{t,c}</w:t>
      </w:r>
    </w:p>
    <w:p>
      <w:pPr>
        <w:spacing w:line="360" w:lineRule="auto" w:before="200" w:after="80"/>
        <w:jc w:val="left"/>
      </w:pPr>
      <w:r>
        <w:rPr>
          <w:rFonts w:ascii="Times New Roman" w:hAnsi="Times New Roman"/>
          <w:b/>
          <w:sz w:val="24"/>
        </w:rPr>
        <w:t>2.1.4 Explainable Artificial Intelligence (XAI)</w:t>
      </w:r>
    </w:p>
    <w:p>
      <w:pPr>
        <w:spacing w:line="360" w:lineRule="auto" w:after="120"/>
        <w:ind w:firstLine="720"/>
        <w:jc w:val="both"/>
      </w:pPr>
      <w:r>
        <w:rPr>
          <w:rFonts w:ascii="Times New Roman" w:hAnsi="Times New Roman"/>
          <w:sz w:val="24"/>
        </w:rPr>
        <w:t>Meskipun model pembelajaran mesin modern seperti CatBoost mampu mencapai akurasi klasifikasi yang sangat impresif, arsitektur ansambel pohon bertingkat pada hakikatnya beroperasi sebagai kotak hitam (black box) yang sepenuhnya tidak transparan. Kompleksitas matematis yang melibatkan agregasi seribu pohon keputusan simetris yang berinteraksi secara multivariat menyebabkan tenaga medis tidak dapat menelusuri bagaimana atau mengapa sebuah keputusan klasifikasi dapat terbentuk bagi seorang pasien (Amann et al., 2020). Dalam praktik pelayanan klinis, ketidaktahuan atas logika inferensi algoritma ini menjadi penghalang terbesar dalam adopsi teknologi kecerdasan buatan, karena dokter secara hukum, etika, dan profesi wajib mempertanggungjawabkan setiap keputusan diagnostik kepada pasien (Sadeghi et al., 2024). Seorang klinisi tidak dapat merekomendasikan terapi farmakologis atau intervensi perilaku hanya berdasarkan keluaran label kategori risiko tanpa memahami kebiasaan mana yang menjadi pemicu utamanya. Oleh karena itu, paradigma Explainable Artificial Intelligence (XAI) menjadi kebutuhan mutlak guna membuka tabir kotak hitam komputasi menjadi penjelasan yang rasional, objektif, dan dapat diverifikasi (Hulsen, 2023).</w:t>
      </w:r>
    </w:p>
    <w:p>
      <w:pPr>
        <w:spacing w:line="360" w:lineRule="auto" w:after="120"/>
        <w:ind w:firstLine="720"/>
        <w:jc w:val="both"/>
      </w:pPr>
      <w:r>
        <w:rPr>
          <w:rFonts w:ascii="Times New Roman" w:hAnsi="Times New Roman"/>
          <w:sz w:val="24"/>
        </w:rPr>
        <w:t>Dalam taksonomi keilmuan XAI, metode penjelasan model pembelajaran mesin secara umum diklasifikasikan ke dalam dua dimensi interpretasi utama: interpretabilitas global dan interpretabilitas lokal (Srinivasu et al., 2022). Interpretabilitas global bertujuan untuk memaparkan perilaku model secara agregat pada tingkat populasi data, yakni dengan mengidentifikasi variabel gaya hidup mana saja yang memiliki pengaruh paling dominan terhadap keputusan sistem secara menyeluruh. Sebaliknya, interpretabilitas lokal berfokus pada penguraian keputusan prediksi untuk satu kasus individu pasien tertentu, dengan merinci kontribusi positif (faktor pemicu risiko) dan kontribusi negatif (faktor pelindung) dari setiap parameter perilaku (Sadeghi et al., 2024). Di ranah kesehatan personal, penjelasan lokal menjadi komponen yang paling bernilai karena profil kebiasaan digital setiap pasien selalu unik, sehingga perancangan rekomendasi intervensi kebersihan tidur (Sleep Hygiene) dapat ditargetkan tepat sasaran pada variabel yang paling menyimpang.</w:t>
      </w:r>
    </w:p>
    <w:p>
      <w:pPr>
        <w:spacing w:line="360" w:lineRule="auto" w:before="200" w:after="80"/>
        <w:jc w:val="left"/>
      </w:pPr>
      <w:r>
        <w:rPr>
          <w:rFonts w:ascii="Times New Roman" w:hAnsi="Times New Roman"/>
          <w:b/>
          <w:sz w:val="24"/>
        </w:rPr>
        <w:t>2.1.5 Shapley Additive exPlanations (SHAP) dan Tree-SHAP</w:t>
      </w:r>
    </w:p>
    <w:p>
      <w:pPr>
        <w:spacing w:line="360" w:lineRule="auto" w:after="120"/>
        <w:ind w:firstLine="720"/>
        <w:jc w:val="both"/>
      </w:pPr>
      <w:r>
        <w:rPr>
          <w:rFonts w:ascii="Times New Roman" w:hAnsi="Times New Roman"/>
          <w:sz w:val="24"/>
        </w:rPr>
        <w:t>Metode Shapley Additive exPlanations (SHAP) merupakan pendekatan penjelasan model terpadu yang dirumuskan oleh Lundberg &amp; Lee (2017) berlandaskan teori permainan koalisi (cooperative game theory) karya pemenang Nobel Lloyd Shapley (1953). Dalam analogi pembelajaran mesin, setiap variabel prediktor input diposisikan layaknya pemain dalam sebuah tim, sedangkan luaran prediksi model diposisikan sebagai hasil kemenangan bersama (payout) yang harus didistribusikan secara adil di antara seluruh pemain. Nilai Shapley (φ_i) mengukur kontribusi marginal dari suatu variabel ke-i dengan cara menghitung rata-rata tertimbang dari selisih keluaran model ketika variabel tersebut disertakan dan dikeluarkan dari seluruh kemungkinan kombinasi himpunan bagian fitur lainnya. Formulasi matematis klasik dari nilai Shapley didefinisikan pada Persamaan (2.11):</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6480"/>
        <w:gridCol w:w="2160"/>
      </w:tblGrid>
      <w:tr>
        <w:tc>
          <w:tcPr>
            <w:tcW w:type="dxa" w:w="3968"/>
          </w:tcPr>
          <w:p>
            <w:pPr>
              <w:spacing w:before="80" w:after="80" w:line="276" w:lineRule="auto"/>
              <w:jc w:val="center"/>
            </w:pPr>
            <w:r>
              <w:rPr>
                <w:rFonts w:ascii="Times New Roman" w:hAnsi="Times New Roman"/>
                <w:b/>
                <w:sz w:val="23"/>
              </w:rPr>
              <w:t>φ_i(f, x) = ∑_{S ⊆ F \ {i}} [ |S|! (|F| - |S| - 1)! / |F|! ] * [ f_x(S ∪ {i}) - f_x(S) ]</w:t>
            </w:r>
          </w:p>
        </w:tc>
        <w:tc>
          <w:tcPr>
            <w:tcW w:type="dxa" w:w="3968"/>
          </w:tcPr>
          <w:p>
            <w:pPr>
              <w:spacing w:before="80" w:after="80" w:line="276" w:lineRule="auto"/>
              <w:jc w:val="right"/>
            </w:pPr>
            <w:r>
              <w:rPr>
                <w:rFonts w:ascii="Times New Roman" w:hAnsi="Times New Roman"/>
                <w:b/>
                <w:sz w:val="22"/>
              </w:rPr>
              <w:t>(Persamaan 2.11)</w:t>
            </w:r>
          </w:p>
        </w:tc>
      </w:tr>
    </w:tbl>
    <w:p>
      <w:pPr>
        <w:spacing w:before="40" w:after="160" w:line="276" w:lineRule="auto"/>
        <w:ind w:left="576" w:firstLine="0"/>
      </w:pPr>
      <w:r>
        <w:rPr>
          <w:rFonts w:ascii="Times New Roman" w:hAnsi="Times New Roman"/>
          <w:i/>
          <w:sz w:val="21"/>
        </w:rPr>
        <w:t>di mana:</w:t>
        <w:br/>
      </w:r>
      <w:r>
        <w:rPr>
          <w:rFonts w:ascii="Times New Roman" w:hAnsi="Times New Roman"/>
          <w:b/>
          <w:sz w:val="21"/>
        </w:rPr>
        <w:t xml:space="preserve">  •  φ_i(f, x)</w:t>
      </w:r>
      <w:r>
        <w:rPr>
          <w:rFonts w:ascii="Times New Roman" w:hAnsi="Times New Roman"/>
          <w:sz w:val="21"/>
        </w:rPr>
        <w:t xml:space="preserve"> = </w:t>
      </w:r>
      <w:r>
        <w:rPr>
          <w:rFonts w:ascii="Times New Roman" w:hAnsi="Times New Roman"/>
          <w:sz w:val="21"/>
        </w:rPr>
        <w:t>nilai atribusi kontribusi marginal fitur prediktor ke-i terhadap prediksi model pada instans x</w:t>
        <w:br/>
      </w:r>
      <w:r>
        <w:rPr>
          <w:rFonts w:ascii="Times New Roman" w:hAnsi="Times New Roman"/>
          <w:b/>
          <w:sz w:val="21"/>
        </w:rPr>
        <w:t xml:space="preserve">  •  F</w:t>
      </w:r>
      <w:r>
        <w:rPr>
          <w:rFonts w:ascii="Times New Roman" w:hAnsi="Times New Roman"/>
          <w:sz w:val="21"/>
        </w:rPr>
        <w:t xml:space="preserve"> = </w:t>
      </w:r>
      <w:r>
        <w:rPr>
          <w:rFonts w:ascii="Times New Roman" w:hAnsi="Times New Roman"/>
          <w:sz w:val="21"/>
        </w:rPr>
        <w:t>himpunan seluruh variabel fitur input yang digunakan dalam model (|F| = M = 28 fitur prediktor)</w:t>
        <w:br/>
      </w:r>
      <w:r>
        <w:rPr>
          <w:rFonts w:ascii="Times New Roman" w:hAnsi="Times New Roman"/>
          <w:b/>
          <w:sz w:val="21"/>
        </w:rPr>
        <w:t xml:space="preserve">  •  S</w:t>
      </w:r>
      <w:r>
        <w:rPr>
          <w:rFonts w:ascii="Times New Roman" w:hAnsi="Times New Roman"/>
          <w:sz w:val="21"/>
        </w:rPr>
        <w:t xml:space="preserve"> = </w:t>
      </w:r>
      <w:r>
        <w:rPr>
          <w:rFonts w:ascii="Times New Roman" w:hAnsi="Times New Roman"/>
          <w:sz w:val="21"/>
        </w:rPr>
        <w:t>himpunan bagian (koalisi) fitur yang tidak memuat fitur ke-i (S ⊆ F \ {i})</w:t>
        <w:br/>
      </w:r>
      <w:r>
        <w:rPr>
          <w:rFonts w:ascii="Times New Roman" w:hAnsi="Times New Roman"/>
          <w:b/>
          <w:sz w:val="21"/>
        </w:rPr>
        <w:t xml:space="preserve">  •  |S|</w:t>
      </w:r>
      <w:r>
        <w:rPr>
          <w:rFonts w:ascii="Times New Roman" w:hAnsi="Times New Roman"/>
          <w:sz w:val="21"/>
        </w:rPr>
        <w:t xml:space="preserve"> = </w:t>
      </w:r>
      <w:r>
        <w:rPr>
          <w:rFonts w:ascii="Times New Roman" w:hAnsi="Times New Roman"/>
          <w:sz w:val="21"/>
        </w:rPr>
        <w:t>kardinalitas atau jumlah fitur yang tergabung dalam koalisi subset S</w:t>
        <w:br/>
      </w:r>
      <w:r>
        <w:rPr>
          <w:rFonts w:ascii="Times New Roman" w:hAnsi="Times New Roman"/>
          <w:b/>
          <w:sz w:val="21"/>
        </w:rPr>
        <w:t xml:space="preserve">  •  |F|!</w:t>
      </w:r>
      <w:r>
        <w:rPr>
          <w:rFonts w:ascii="Times New Roman" w:hAnsi="Times New Roman"/>
          <w:sz w:val="21"/>
        </w:rPr>
        <w:t xml:space="preserve"> = </w:t>
      </w:r>
      <w:r>
        <w:rPr>
          <w:rFonts w:ascii="Times New Roman" w:hAnsi="Times New Roman"/>
          <w:sz w:val="21"/>
        </w:rPr>
        <w:t>total permutasi kemungkinan urutan masuknya seluruh fitur ke dalam koalisi</w:t>
        <w:br/>
      </w:r>
      <w:r>
        <w:rPr>
          <w:rFonts w:ascii="Times New Roman" w:hAnsi="Times New Roman"/>
          <w:b/>
          <w:sz w:val="21"/>
        </w:rPr>
        <w:t xml:space="preserve">  •  f_x(S)</w:t>
      </w:r>
      <w:r>
        <w:rPr>
          <w:rFonts w:ascii="Times New Roman" w:hAnsi="Times New Roman"/>
          <w:sz w:val="21"/>
        </w:rPr>
        <w:t xml:space="preserve"> = </w:t>
      </w:r>
      <w:r>
        <w:rPr>
          <w:rFonts w:ascii="Times New Roman" w:hAnsi="Times New Roman"/>
          <w:sz w:val="21"/>
        </w:rPr>
        <w:t>nilai ekspektasi luaran prediksi model saat dievaluasi menggunakan subset fitur S</w:t>
        <w:br/>
      </w:r>
      <w:r>
        <w:rPr>
          <w:rFonts w:ascii="Times New Roman" w:hAnsi="Times New Roman"/>
          <w:b/>
          <w:sz w:val="21"/>
        </w:rPr>
        <w:t xml:space="preserve">  •  [f_x(S ∪ {i}) - f_x(S)]</w:t>
      </w:r>
      <w:r>
        <w:rPr>
          <w:rFonts w:ascii="Times New Roman" w:hAnsi="Times New Roman"/>
          <w:sz w:val="21"/>
        </w:rPr>
        <w:t xml:space="preserve"> = </w:t>
      </w:r>
      <w:r>
        <w:rPr>
          <w:rFonts w:ascii="Times New Roman" w:hAnsi="Times New Roman"/>
          <w:sz w:val="21"/>
        </w:rPr>
        <w:t>kontribusi marginal penambahan fitur ke-i ke dalam koalisi fitur S</w:t>
      </w:r>
    </w:p>
    <w:p>
      <w:pPr>
        <w:spacing w:line="360" w:lineRule="auto" w:after="120"/>
        <w:ind w:firstLine="720"/>
        <w:jc w:val="both"/>
      </w:pPr>
      <w:r>
        <w:rPr>
          <w:rFonts w:ascii="Times New Roman" w:hAnsi="Times New Roman"/>
          <w:sz w:val="24"/>
        </w:rPr>
        <w:t>Pendekatan berbasis nilai Shapley memiliki superioritas mutlak dibanding metode eksplanasi lainnya (seperti Feature Importance konvensional atau Permutation Importance) karena nilai Shapley terbukti secara matematis merupakan satu-satunya metode atribusi yang memenuhi empat aksioma fundamental teori permainan koalisi secara simultan (Lundberg &amp; Lee, 2017):</w:t>
      </w:r>
    </w:p>
    <w:p>
      <w:pPr>
        <w:spacing w:line="360" w:lineRule="auto" w:after="120"/>
        <w:ind w:firstLine="720"/>
        <w:jc w:val="both"/>
      </w:pPr>
      <w:r>
        <w:rPr>
          <w:rFonts w:ascii="Times New Roman" w:hAnsi="Times New Roman"/>
          <w:b/>
          <w:sz w:val="24"/>
        </w:rPr>
        <w:t xml:space="preserve">1. Aksioma Efisiensi (Efficiency): </w:t>
      </w:r>
      <w:r>
        <w:rPr>
          <w:rFonts w:ascii="Times New Roman" w:hAnsi="Times New Roman"/>
          <w:sz w:val="24"/>
        </w:rPr>
        <w:t>Jumlah total nilai atribusi kontribusi dari seluruh variabel input beserta nilai dasar ekspektasi global model sama persis dengan nilai luaran prediksi aktual model f(x), sebagaimana dirumuskan pada Persamaan (2.12):</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6480"/>
        <w:gridCol w:w="2160"/>
      </w:tblGrid>
      <w:tr>
        <w:tc>
          <w:tcPr>
            <w:tcW w:type="dxa" w:w="3968"/>
          </w:tcPr>
          <w:p>
            <w:pPr>
              <w:spacing w:before="80" w:after="80" w:line="276" w:lineRule="auto"/>
              <w:jc w:val="center"/>
            </w:pPr>
            <w:r>
              <w:rPr>
                <w:rFonts w:ascii="Times New Roman" w:hAnsi="Times New Roman"/>
                <w:b/>
                <w:sz w:val="23"/>
              </w:rPr>
              <w:t>∑_{i=1}^M φ_i(f, x) = f(x) - E[f(X)]</w:t>
            </w:r>
          </w:p>
        </w:tc>
        <w:tc>
          <w:tcPr>
            <w:tcW w:type="dxa" w:w="3968"/>
          </w:tcPr>
          <w:p>
            <w:pPr>
              <w:spacing w:before="80" w:after="80" w:line="276" w:lineRule="auto"/>
              <w:jc w:val="right"/>
            </w:pPr>
            <w:r>
              <w:rPr>
                <w:rFonts w:ascii="Times New Roman" w:hAnsi="Times New Roman"/>
                <w:b/>
                <w:sz w:val="22"/>
              </w:rPr>
              <w:t>(Persamaan 2.12)</w:t>
            </w:r>
          </w:p>
        </w:tc>
      </w:tr>
    </w:tbl>
    <w:p>
      <w:pPr>
        <w:spacing w:before="40" w:after="160" w:line="276" w:lineRule="auto"/>
        <w:ind w:left="576" w:firstLine="0"/>
      </w:pPr>
      <w:r>
        <w:rPr>
          <w:rFonts w:ascii="Times New Roman" w:hAnsi="Times New Roman"/>
          <w:i/>
          <w:sz w:val="21"/>
        </w:rPr>
        <w:t>di mana:</w:t>
        <w:br/>
      </w:r>
      <w:r>
        <w:rPr>
          <w:rFonts w:ascii="Times New Roman" w:hAnsi="Times New Roman"/>
          <w:b/>
          <w:sz w:val="21"/>
        </w:rPr>
        <w:t xml:space="preserve">  •  ∑ φ_i</w:t>
      </w:r>
      <w:r>
        <w:rPr>
          <w:rFonts w:ascii="Times New Roman" w:hAnsi="Times New Roman"/>
          <w:sz w:val="21"/>
        </w:rPr>
        <w:t xml:space="preserve"> = </w:t>
      </w:r>
      <w:r>
        <w:rPr>
          <w:rFonts w:ascii="Times New Roman" w:hAnsi="Times New Roman"/>
          <w:sz w:val="21"/>
        </w:rPr>
        <w:t>akumulasi nilai kontribusi marginal seluruh M variabel fitur prediktor (M = 28)</w:t>
        <w:br/>
      </w:r>
      <w:r>
        <w:rPr>
          <w:rFonts w:ascii="Times New Roman" w:hAnsi="Times New Roman"/>
          <w:b/>
          <w:sz w:val="21"/>
        </w:rPr>
        <w:t xml:space="preserve">  •  f(x)</w:t>
      </w:r>
      <w:r>
        <w:rPr>
          <w:rFonts w:ascii="Times New Roman" w:hAnsi="Times New Roman"/>
          <w:sz w:val="21"/>
        </w:rPr>
        <w:t xml:space="preserve"> = </w:t>
      </w:r>
      <w:r>
        <w:rPr>
          <w:rFonts w:ascii="Times New Roman" w:hAnsi="Times New Roman"/>
          <w:sz w:val="21"/>
        </w:rPr>
        <w:t>nilai prediksi akhir model untuk observasi x (pada ruang margin logit atau probabilitas)</w:t>
        <w:br/>
      </w:r>
      <w:r>
        <w:rPr>
          <w:rFonts w:ascii="Times New Roman" w:hAnsi="Times New Roman"/>
          <w:b/>
          <w:sz w:val="21"/>
        </w:rPr>
        <w:t xml:space="preserve">  •  E[f(X)]</w:t>
      </w:r>
      <w:r>
        <w:rPr>
          <w:rFonts w:ascii="Times New Roman" w:hAnsi="Times New Roman"/>
          <w:sz w:val="21"/>
        </w:rPr>
        <w:t xml:space="preserve"> = </w:t>
      </w:r>
      <w:r>
        <w:rPr>
          <w:rFonts w:ascii="Times New Roman" w:hAnsi="Times New Roman"/>
          <w:sz w:val="21"/>
        </w:rPr>
        <w:t>nilai dasar acuan ekspektasi global model (base value φ_0) pada seluruh populasi data latih</w:t>
      </w:r>
    </w:p>
    <w:p>
      <w:pPr>
        <w:spacing w:line="360" w:lineRule="auto" w:after="120"/>
        <w:ind w:firstLine="720"/>
        <w:jc w:val="both"/>
      </w:pPr>
      <w:r>
        <w:rPr>
          <w:rFonts w:ascii="Times New Roman" w:hAnsi="Times New Roman"/>
          <w:b/>
          <w:sz w:val="24"/>
        </w:rPr>
        <w:t xml:space="preserve">2. Aksioma Simetri (Symmetry): </w:t>
      </w:r>
      <w:r>
        <w:rPr>
          <w:rFonts w:ascii="Times New Roman" w:hAnsi="Times New Roman"/>
          <w:sz w:val="24"/>
        </w:rPr>
        <w:t>Apabila dua fitur i dan j memberikan kontribusi marginal yang identik pada seluruh kemungkinan koalisi subset fitur S (yakni f_x(S ∪ {i}) = f_x(S ∪ {j}) untuk seluruh S ⊆ F \ {i, j}), maka nilai atribusi kedua fitur tersebut dipastikan sama besar: φ_i = φ_j.</w:t>
      </w:r>
    </w:p>
    <w:p>
      <w:pPr>
        <w:spacing w:line="360" w:lineRule="auto" w:after="120"/>
        <w:ind w:firstLine="720"/>
        <w:jc w:val="both"/>
      </w:pPr>
      <w:r>
        <w:rPr>
          <w:rFonts w:ascii="Times New Roman" w:hAnsi="Times New Roman"/>
          <w:b/>
          <w:sz w:val="24"/>
        </w:rPr>
        <w:t xml:space="preserve">3. Aksioma Dummy / Null Player: </w:t>
      </w:r>
      <w:r>
        <w:rPr>
          <w:rFonts w:ascii="Times New Roman" w:hAnsi="Times New Roman"/>
          <w:sz w:val="24"/>
        </w:rPr>
        <w:t>Apabila keberadaan suatu fitur i sama sekali tidak mengubah nilai prediksi model pada koalisi manapun (yakni f_x(S ∪ {i}) = f_x(S) untuk seluruh S ⊆ F \ {i}), maka nilai atribusi fitur tersebut dijamin bernilai tepat nol: φ_i = 0.</w:t>
      </w:r>
    </w:p>
    <w:p>
      <w:pPr>
        <w:spacing w:line="360" w:lineRule="auto" w:after="120"/>
        <w:ind w:firstLine="720"/>
        <w:jc w:val="both"/>
      </w:pPr>
      <w:r>
        <w:rPr>
          <w:rFonts w:ascii="Times New Roman" w:hAnsi="Times New Roman"/>
          <w:b/>
          <w:sz w:val="24"/>
        </w:rPr>
        <w:t xml:space="preserve">4. Aksioma Aditivitas (Additivity): </w:t>
      </w:r>
      <w:r>
        <w:rPr>
          <w:rFonts w:ascii="Times New Roman" w:hAnsi="Times New Roman"/>
          <w:sz w:val="24"/>
        </w:rPr>
        <w:t>Apabila suatu model prediksi f terbentuk dari kombinasi linier dua model dasar f = f_1 + f_2, maka nilai kontribusi setiap fitur pada model gabungan adalah penjumlahan nilai kontribusi dari masing-masing model: φ_i(f_1 + f_2) = φ_i(f_1) + φ_i(f_2).</w:t>
      </w:r>
    </w:p>
    <w:p>
      <w:pPr>
        <w:spacing w:line="360" w:lineRule="auto" w:after="120"/>
        <w:ind w:firstLine="720"/>
        <w:jc w:val="both"/>
      </w:pPr>
      <w:r>
        <w:rPr>
          <w:rFonts w:ascii="Times New Roman" w:hAnsi="Times New Roman"/>
          <w:sz w:val="24"/>
        </w:rPr>
        <w:t>Berdasarkan pemenuhan keempat aksioma tersebut, Lundberg &amp; Lee (2017) merumuskan kerangka kerja model atribusi aditif lokal (Additive Feature Attribution Method) yang menjamin representasi linear yang intuitif bagi pengguna, sebagaimana dinyatakan pada Persamaan (2.13):</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6480"/>
        <w:gridCol w:w="2160"/>
      </w:tblGrid>
      <w:tr>
        <w:tc>
          <w:tcPr>
            <w:tcW w:type="dxa" w:w="3968"/>
          </w:tcPr>
          <w:p>
            <w:pPr>
              <w:spacing w:before="80" w:after="80" w:line="276" w:lineRule="auto"/>
              <w:jc w:val="center"/>
            </w:pPr>
            <w:r>
              <w:rPr>
                <w:rFonts w:ascii="Times New Roman" w:hAnsi="Times New Roman"/>
                <w:b/>
                <w:sz w:val="23"/>
              </w:rPr>
              <w:t>g(z') = φ_0 + ∑_{i=1}^M φ_i · z'_i    ==&gt;    f(x) = φ_0 + ∑_{i=1}^M φ_i(x)</w:t>
            </w:r>
          </w:p>
        </w:tc>
        <w:tc>
          <w:tcPr>
            <w:tcW w:type="dxa" w:w="3968"/>
          </w:tcPr>
          <w:p>
            <w:pPr>
              <w:spacing w:before="80" w:after="80" w:line="276" w:lineRule="auto"/>
              <w:jc w:val="right"/>
            </w:pPr>
            <w:r>
              <w:rPr>
                <w:rFonts w:ascii="Times New Roman" w:hAnsi="Times New Roman"/>
                <w:b/>
                <w:sz w:val="22"/>
              </w:rPr>
              <w:t>(Persamaan 2.13)</w:t>
            </w:r>
          </w:p>
        </w:tc>
      </w:tr>
    </w:tbl>
    <w:p>
      <w:pPr>
        <w:spacing w:before="40" w:after="160" w:line="276" w:lineRule="auto"/>
        <w:ind w:left="576" w:firstLine="0"/>
      </w:pPr>
      <w:r>
        <w:rPr>
          <w:rFonts w:ascii="Times New Roman" w:hAnsi="Times New Roman"/>
          <w:i/>
          <w:sz w:val="21"/>
        </w:rPr>
        <w:t>di mana:</w:t>
        <w:br/>
      </w:r>
      <w:r>
        <w:rPr>
          <w:rFonts w:ascii="Times New Roman" w:hAnsi="Times New Roman"/>
          <w:b/>
          <w:sz w:val="21"/>
        </w:rPr>
        <w:t xml:space="preserve">  •  g(z')</w:t>
      </w:r>
      <w:r>
        <w:rPr>
          <w:rFonts w:ascii="Times New Roman" w:hAnsi="Times New Roman"/>
          <w:sz w:val="21"/>
        </w:rPr>
        <w:t xml:space="preserve"> = </w:t>
      </w:r>
      <w:r>
        <w:rPr>
          <w:rFonts w:ascii="Times New Roman" w:hAnsi="Times New Roman"/>
          <w:sz w:val="21"/>
        </w:rPr>
        <w:t>model penjelasan lokal linear yang mengaproksimasi perilaku model kompleks di sekitar instans x</w:t>
        <w:br/>
      </w:r>
      <w:r>
        <w:rPr>
          <w:rFonts w:ascii="Times New Roman" w:hAnsi="Times New Roman"/>
          <w:b/>
          <w:sz w:val="21"/>
        </w:rPr>
        <w:t xml:space="preserve">  •  z' ∈ {0, 1}^M</w:t>
      </w:r>
      <w:r>
        <w:rPr>
          <w:rFonts w:ascii="Times New Roman" w:hAnsi="Times New Roman"/>
          <w:sz w:val="21"/>
        </w:rPr>
        <w:t xml:space="preserve"> = </w:t>
      </w:r>
      <w:r>
        <w:rPr>
          <w:rFonts w:ascii="Times New Roman" w:hAnsi="Times New Roman"/>
          <w:sz w:val="21"/>
        </w:rPr>
        <w:t>vektor biner koalisi fitur sederhana (z'_i = 1 jika fitur diobservasi, dan 0 jika tidak ada)</w:t>
        <w:br/>
      </w:r>
      <w:r>
        <w:rPr>
          <w:rFonts w:ascii="Times New Roman" w:hAnsi="Times New Roman"/>
          <w:b/>
          <w:sz w:val="21"/>
        </w:rPr>
        <w:t xml:space="preserve">  •  φ_0</w:t>
      </w:r>
      <w:r>
        <w:rPr>
          <w:rFonts w:ascii="Times New Roman" w:hAnsi="Times New Roman"/>
          <w:sz w:val="21"/>
        </w:rPr>
        <w:t xml:space="preserve"> = </w:t>
      </w:r>
      <w:r>
        <w:rPr>
          <w:rFonts w:ascii="Times New Roman" w:hAnsi="Times New Roman"/>
          <w:sz w:val="21"/>
        </w:rPr>
        <w:t>nilai dasar acuan ekspektasi model saat tidak ada fitur yang diketahui (φ_0 = f_x(∅) = E[f(x)])</w:t>
        <w:br/>
      </w:r>
      <w:r>
        <w:rPr>
          <w:rFonts w:ascii="Times New Roman" w:hAnsi="Times New Roman"/>
          <w:b/>
          <w:sz w:val="21"/>
        </w:rPr>
        <w:t xml:space="preserve">  •  φ_i(x)</w:t>
      </w:r>
      <w:r>
        <w:rPr>
          <w:rFonts w:ascii="Times New Roman" w:hAnsi="Times New Roman"/>
          <w:sz w:val="21"/>
        </w:rPr>
        <w:t xml:space="preserve"> = </w:t>
      </w:r>
      <w:r>
        <w:rPr>
          <w:rFonts w:ascii="Times New Roman" w:hAnsi="Times New Roman"/>
          <w:sz w:val="21"/>
        </w:rPr>
        <w:t>nilai atribusi kontribusi lokal dari variabel ke-i pada instans pasien x</w:t>
      </w:r>
    </w:p>
    <w:p>
      <w:pPr>
        <w:spacing w:line="360" w:lineRule="auto" w:after="120"/>
        <w:ind w:firstLine="720"/>
        <w:jc w:val="both"/>
      </w:pPr>
      <w:r>
        <w:rPr>
          <w:rFonts w:ascii="Times New Roman" w:hAnsi="Times New Roman"/>
          <w:sz w:val="24"/>
        </w:rPr>
        <w:t>Kendati nilai Shapley memiliki landasan teoretis yang sangat kokoh, kalkulasi eksak menggunakan formulasi Persamaan (2.11) memiliki kompleksitas waktu eksponensial O(M · 2^M) karena mewajibkan evaluasi seluruh 2^M kemungkinan kombinasi koalisi subset fitur. Untuk memecahkan hambatan komputasi tersebut, Lundberg et al. (2020) merancang algoritma Tree-SHAP, sebuah algoritma komputasi eksak berkecepatan tinggi yang dioptimalkan secara khusus untuk model berbasis pohon keputusan seperti CatBoost. Algoritma Tree-SHAP mengeksploitasi struktur topologi pohon secara rekursif dengan merambati jalur keputusan dari simpul akar hingga ke simpul daun dalam waktu polinomial O(T · L · D^2), di mana T adalah jumlah pohon (T = 1.000), L adalah jumlah daun maksimum per pohon, dan D adalah kedalaman pohon (depth D = 6). Nilai Tree-SHAP untuk setiap pohon ke-t dihitung dengan menjumlahkan kontribusi terbobot dari seluruh simpul daun, sebagaimana dirumuskan pada Persamaan (2.14):</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6480"/>
        <w:gridCol w:w="2160"/>
      </w:tblGrid>
      <w:tr>
        <w:tc>
          <w:tcPr>
            <w:tcW w:type="dxa" w:w="3968"/>
          </w:tcPr>
          <w:p>
            <w:pPr>
              <w:spacing w:before="80" w:after="80" w:line="276" w:lineRule="auto"/>
              <w:jc w:val="center"/>
            </w:pPr>
            <w:r>
              <w:rPr>
                <w:rFonts w:ascii="Times New Roman" w:hAnsi="Times New Roman"/>
                <w:b/>
                <w:sz w:val="23"/>
              </w:rPr>
              <w:t>φ_i(f_t, x) = ∑_{j ∈ Daun(f_t)} W(j, i, x) · v_j</w:t>
            </w:r>
          </w:p>
        </w:tc>
        <w:tc>
          <w:tcPr>
            <w:tcW w:type="dxa" w:w="3968"/>
          </w:tcPr>
          <w:p>
            <w:pPr>
              <w:spacing w:before="80" w:after="80" w:line="276" w:lineRule="auto"/>
              <w:jc w:val="right"/>
            </w:pPr>
            <w:r>
              <w:rPr>
                <w:rFonts w:ascii="Times New Roman" w:hAnsi="Times New Roman"/>
                <w:b/>
                <w:sz w:val="22"/>
              </w:rPr>
              <w:t>(Persamaan 2.14)</w:t>
            </w:r>
          </w:p>
        </w:tc>
      </w:tr>
    </w:tbl>
    <w:p>
      <w:pPr>
        <w:spacing w:before="40" w:after="160" w:line="276" w:lineRule="auto"/>
        <w:ind w:left="576" w:firstLine="0"/>
      </w:pPr>
      <w:r>
        <w:rPr>
          <w:rFonts w:ascii="Times New Roman" w:hAnsi="Times New Roman"/>
          <w:i/>
          <w:sz w:val="21"/>
        </w:rPr>
        <w:t>di mana:</w:t>
        <w:br/>
      </w:r>
      <w:r>
        <w:rPr>
          <w:rFonts w:ascii="Times New Roman" w:hAnsi="Times New Roman"/>
          <w:b/>
          <w:sz w:val="21"/>
        </w:rPr>
        <w:t xml:space="preserve">  •  φ_i(f_t, x)</w:t>
      </w:r>
      <w:r>
        <w:rPr>
          <w:rFonts w:ascii="Times New Roman" w:hAnsi="Times New Roman"/>
          <w:sz w:val="21"/>
        </w:rPr>
        <w:t xml:space="preserve"> = </w:t>
      </w:r>
      <w:r>
        <w:rPr>
          <w:rFonts w:ascii="Times New Roman" w:hAnsi="Times New Roman"/>
          <w:sz w:val="21"/>
        </w:rPr>
        <w:t>atribusi fitur ke-i pada pohon keputusan tunggal ke-t</w:t>
        <w:br/>
      </w:r>
      <w:r>
        <w:rPr>
          <w:rFonts w:ascii="Times New Roman" w:hAnsi="Times New Roman"/>
          <w:b/>
          <w:sz w:val="21"/>
        </w:rPr>
        <w:t xml:space="preserve">  •  Daun(f_t)</w:t>
      </w:r>
      <w:r>
        <w:rPr>
          <w:rFonts w:ascii="Times New Roman" w:hAnsi="Times New Roman"/>
          <w:sz w:val="21"/>
        </w:rPr>
        <w:t xml:space="preserve"> = </w:t>
      </w:r>
      <w:r>
        <w:rPr>
          <w:rFonts w:ascii="Times New Roman" w:hAnsi="Times New Roman"/>
          <w:sz w:val="21"/>
        </w:rPr>
        <w:t>himpunan seluruh simpul daun pada pohon keputusan ke-t</w:t>
        <w:br/>
      </w:r>
      <w:r>
        <w:rPr>
          <w:rFonts w:ascii="Times New Roman" w:hAnsi="Times New Roman"/>
          <w:b/>
          <w:sz w:val="21"/>
        </w:rPr>
        <w:t xml:space="preserve">  •  v_j</w:t>
      </w:r>
      <w:r>
        <w:rPr>
          <w:rFonts w:ascii="Times New Roman" w:hAnsi="Times New Roman"/>
          <w:sz w:val="21"/>
        </w:rPr>
        <w:t xml:space="preserve"> = </w:t>
      </w:r>
      <w:r>
        <w:rPr>
          <w:rFonts w:ascii="Times New Roman" w:hAnsi="Times New Roman"/>
          <w:sz w:val="21"/>
        </w:rPr>
        <w:t>nilai bobot prediksi yang tersimpan pada simpul daun j</w:t>
        <w:br/>
      </w:r>
      <w:r>
        <w:rPr>
          <w:rFonts w:ascii="Times New Roman" w:hAnsi="Times New Roman"/>
          <w:b/>
          <w:sz w:val="21"/>
        </w:rPr>
        <w:t xml:space="preserve">  •  W(j, i, x)</w:t>
      </w:r>
      <w:r>
        <w:rPr>
          <w:rFonts w:ascii="Times New Roman" w:hAnsi="Times New Roman"/>
          <w:sz w:val="21"/>
        </w:rPr>
        <w:t xml:space="preserve"> = </w:t>
      </w:r>
      <w:r>
        <w:rPr>
          <w:rFonts w:ascii="Times New Roman" w:hAnsi="Times New Roman"/>
          <w:sz w:val="21"/>
        </w:rPr>
        <w:t>fungsi bobot proporsional fraksi jalur keputusan yang bergantung pada fitur i sesuai topologi pohon</w:t>
      </w:r>
    </w:p>
    <w:p>
      <w:pPr>
        <w:spacing w:line="360" w:lineRule="auto" w:after="120"/>
        <w:ind w:firstLine="720"/>
        <w:jc w:val="both"/>
      </w:pPr>
      <w:r>
        <w:rPr>
          <w:rFonts w:ascii="Times New Roman" w:hAnsi="Times New Roman"/>
          <w:sz w:val="24"/>
        </w:rPr>
        <w:t>Pada model klasifikasi multi-kelas CatBoost dengan empat tingkatan risiko target, modul TreeExplainer menghitung nilai atribusi fitur pada ruang margin logit mentah F_c(x). Guna keperluan interpretasi klinis yang intuitif bagi dokter pada antarmuka sistem pendukung keputusan klinis (CDSS), margin logit terdekomposisi tersebut ditranslasikan ke dalam ruang probabilitas terkalibrasi melalui fungsi Softmax, sebagaimana dirumuskan pada Persamaan (2.15):</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6480"/>
        <w:gridCol w:w="2160"/>
      </w:tblGrid>
      <w:tr>
        <w:tc>
          <w:tcPr>
            <w:tcW w:type="dxa" w:w="3968"/>
          </w:tcPr>
          <w:p>
            <w:pPr>
              <w:spacing w:before="80" w:after="80" w:line="276" w:lineRule="auto"/>
              <w:jc w:val="center"/>
            </w:pPr>
            <w:r>
              <w:rPr>
                <w:rFonts w:ascii="Times New Roman" w:hAnsi="Times New Roman"/>
                <w:b/>
                <w:sz w:val="23"/>
              </w:rPr>
              <w:t>P(Risiko = c | x) = exp(φ_0^{(c)} + ∑_{i=1}^M φ_i^{(c)}(x)) / ∑_{k=1}^K exp(φ_0^{(k)} + ∑_{i=1}^M φ_i^{(k)}(x))</w:t>
            </w:r>
          </w:p>
        </w:tc>
        <w:tc>
          <w:tcPr>
            <w:tcW w:type="dxa" w:w="3968"/>
          </w:tcPr>
          <w:p>
            <w:pPr>
              <w:spacing w:before="80" w:after="80" w:line="276" w:lineRule="auto"/>
              <w:jc w:val="right"/>
            </w:pPr>
            <w:r>
              <w:rPr>
                <w:rFonts w:ascii="Times New Roman" w:hAnsi="Times New Roman"/>
                <w:b/>
                <w:sz w:val="22"/>
              </w:rPr>
              <w:t>(Persamaan 2.15)</w:t>
            </w:r>
          </w:p>
        </w:tc>
      </w:tr>
    </w:tbl>
    <w:p>
      <w:pPr>
        <w:spacing w:before="40" w:after="160" w:line="276" w:lineRule="auto"/>
        <w:ind w:left="576" w:firstLine="0"/>
      </w:pPr>
      <w:r>
        <w:rPr>
          <w:rFonts w:ascii="Times New Roman" w:hAnsi="Times New Roman"/>
          <w:i/>
          <w:sz w:val="21"/>
        </w:rPr>
        <w:t>di mana:</w:t>
        <w:br/>
      </w:r>
      <w:r>
        <w:rPr>
          <w:rFonts w:ascii="Times New Roman" w:hAnsi="Times New Roman"/>
          <w:b/>
          <w:sz w:val="21"/>
        </w:rPr>
        <w:t xml:space="preserve">  •  P(Risiko = c | x)</w:t>
      </w:r>
      <w:r>
        <w:rPr>
          <w:rFonts w:ascii="Times New Roman" w:hAnsi="Times New Roman"/>
          <w:sz w:val="21"/>
        </w:rPr>
        <w:t xml:space="preserve"> = </w:t>
      </w:r>
      <w:r>
        <w:rPr>
          <w:rFonts w:ascii="Times New Roman" w:hAnsi="Times New Roman"/>
          <w:sz w:val="21"/>
        </w:rPr>
        <w:t>probabilitas terkalibrasi bahwa pasien x berada pada tingkatan risiko c (0% hingga 100%)</w:t>
        <w:br/>
      </w:r>
      <w:r>
        <w:rPr>
          <w:rFonts w:ascii="Times New Roman" w:hAnsi="Times New Roman"/>
          <w:b/>
          <w:sz w:val="21"/>
        </w:rPr>
        <w:t xml:space="preserve">  •  φ_0^{(c)}</w:t>
      </w:r>
      <w:r>
        <w:rPr>
          <w:rFonts w:ascii="Times New Roman" w:hAnsi="Times New Roman"/>
          <w:sz w:val="21"/>
        </w:rPr>
        <w:t xml:space="preserve"> = </w:t>
      </w:r>
      <w:r>
        <w:rPr>
          <w:rFonts w:ascii="Times New Roman" w:hAnsi="Times New Roman"/>
          <w:sz w:val="21"/>
        </w:rPr>
        <w:t>nilai dasar margin logit untuk kelas c</w:t>
        <w:br/>
      </w:r>
      <w:r>
        <w:rPr>
          <w:rFonts w:ascii="Times New Roman" w:hAnsi="Times New Roman"/>
          <w:b/>
          <w:sz w:val="21"/>
        </w:rPr>
        <w:t xml:space="preserve">  •  φ_i^{(c)}(x)</w:t>
      </w:r>
      <w:r>
        <w:rPr>
          <w:rFonts w:ascii="Times New Roman" w:hAnsi="Times New Roman"/>
          <w:sz w:val="21"/>
        </w:rPr>
        <w:t xml:space="preserve"> = </w:t>
      </w:r>
      <w:r>
        <w:rPr>
          <w:rFonts w:ascii="Times New Roman" w:hAnsi="Times New Roman"/>
          <w:sz w:val="21"/>
        </w:rPr>
        <w:t>nilai atribusi Tree-SHAP dari fitur prediktor ke-i terhadap kelas risiko c</w:t>
        <w:br/>
      </w:r>
      <w:r>
        <w:rPr>
          <w:rFonts w:ascii="Times New Roman" w:hAnsi="Times New Roman"/>
          <w:b/>
          <w:sz w:val="21"/>
        </w:rPr>
        <w:t xml:space="preserve">  •  K</w:t>
      </w:r>
      <w:r>
        <w:rPr>
          <w:rFonts w:ascii="Times New Roman" w:hAnsi="Times New Roman"/>
          <w:sz w:val="21"/>
        </w:rPr>
        <w:t xml:space="preserve"> = </w:t>
      </w:r>
      <w:r>
        <w:rPr>
          <w:rFonts w:ascii="Times New Roman" w:hAnsi="Times New Roman"/>
          <w:sz w:val="21"/>
        </w:rPr>
        <w:t>jumlah total kelas risiko target (K = 4: Healthy, Mild, Moderate, Severe)</w:t>
      </w:r>
    </w:p>
    <w:p>
      <w:pPr>
        <w:spacing w:line="360" w:lineRule="auto" w:after="120"/>
        <w:ind w:firstLine="720"/>
        <w:jc w:val="both"/>
      </w:pPr>
      <w:r>
        <w:rPr>
          <w:rFonts w:ascii="Times New Roman" w:hAnsi="Times New Roman"/>
          <w:sz w:val="24"/>
        </w:rPr>
        <w:t>Untuk melengkapi analisis penjelasan lokal per pasien, kapabilitas interpretabilitas global diekstraksi dengan menghitung nilai kepentingan fitur global (Global Feature Importance). Nilai kepentingan global I_i dihitung dengan merata-ratakan magnitudo nilai absolut SHAP dari fitur ke-i di seluruh N_test sampel data uji, sebagaimana dirumuskan pada Persamaan (2.16):</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6480"/>
        <w:gridCol w:w="2160"/>
      </w:tblGrid>
      <w:tr>
        <w:tc>
          <w:tcPr>
            <w:tcW w:type="dxa" w:w="3968"/>
          </w:tcPr>
          <w:p>
            <w:pPr>
              <w:spacing w:before="80" w:after="80" w:line="276" w:lineRule="auto"/>
              <w:jc w:val="center"/>
            </w:pPr>
            <w:r>
              <w:rPr>
                <w:rFonts w:ascii="Times New Roman" w:hAnsi="Times New Roman"/>
                <w:b/>
                <w:sz w:val="23"/>
              </w:rPr>
              <w:t>I_i = (1 / N_test) * ∑_{k=1}^{N_test} |φ_i(x_k)|</w:t>
            </w:r>
          </w:p>
        </w:tc>
        <w:tc>
          <w:tcPr>
            <w:tcW w:type="dxa" w:w="3968"/>
          </w:tcPr>
          <w:p>
            <w:pPr>
              <w:spacing w:before="80" w:after="80" w:line="276" w:lineRule="auto"/>
              <w:jc w:val="right"/>
            </w:pPr>
            <w:r>
              <w:rPr>
                <w:rFonts w:ascii="Times New Roman" w:hAnsi="Times New Roman"/>
                <w:b/>
                <w:sz w:val="22"/>
              </w:rPr>
              <w:t>(Persamaan 2.16)</w:t>
            </w:r>
          </w:p>
        </w:tc>
      </w:tr>
    </w:tbl>
    <w:p>
      <w:pPr>
        <w:spacing w:before="40" w:after="160" w:line="276" w:lineRule="auto"/>
        <w:ind w:left="576" w:firstLine="0"/>
      </w:pPr>
      <w:r>
        <w:rPr>
          <w:rFonts w:ascii="Times New Roman" w:hAnsi="Times New Roman"/>
          <w:i/>
          <w:sz w:val="21"/>
        </w:rPr>
        <w:t>di mana:</w:t>
        <w:br/>
      </w:r>
      <w:r>
        <w:rPr>
          <w:rFonts w:ascii="Times New Roman" w:hAnsi="Times New Roman"/>
          <w:b/>
          <w:sz w:val="21"/>
        </w:rPr>
        <w:t xml:space="preserve">  •  I_i</w:t>
      </w:r>
      <w:r>
        <w:rPr>
          <w:rFonts w:ascii="Times New Roman" w:hAnsi="Times New Roman"/>
          <w:sz w:val="21"/>
        </w:rPr>
        <w:t xml:space="preserve"> = </w:t>
      </w:r>
      <w:r>
        <w:rPr>
          <w:rFonts w:ascii="Times New Roman" w:hAnsi="Times New Roman"/>
          <w:sz w:val="21"/>
        </w:rPr>
        <w:t>skor kepentingan global variabel ke-i pada populasi data uji</w:t>
        <w:br/>
      </w:r>
      <w:r>
        <w:rPr>
          <w:rFonts w:ascii="Times New Roman" w:hAnsi="Times New Roman"/>
          <w:b/>
          <w:sz w:val="21"/>
        </w:rPr>
        <w:t xml:space="preserve">  •  N_test</w:t>
      </w:r>
      <w:r>
        <w:rPr>
          <w:rFonts w:ascii="Times New Roman" w:hAnsi="Times New Roman"/>
          <w:sz w:val="21"/>
        </w:rPr>
        <w:t xml:space="preserve"> = </w:t>
      </w:r>
      <w:r>
        <w:rPr>
          <w:rFonts w:ascii="Times New Roman" w:hAnsi="Times New Roman"/>
          <w:sz w:val="21"/>
        </w:rPr>
        <w:t>jumlah total sampel data uji yang dievaluasi (N_test = 20.000 sampel)</w:t>
        <w:br/>
      </w:r>
      <w:r>
        <w:rPr>
          <w:rFonts w:ascii="Times New Roman" w:hAnsi="Times New Roman"/>
          <w:b/>
          <w:sz w:val="21"/>
        </w:rPr>
        <w:t xml:space="preserve">  •  |φ_i(x_k)|</w:t>
      </w:r>
      <w:r>
        <w:rPr>
          <w:rFonts w:ascii="Times New Roman" w:hAnsi="Times New Roman"/>
          <w:sz w:val="21"/>
        </w:rPr>
        <w:t xml:space="preserve"> = </w:t>
      </w:r>
      <w:r>
        <w:rPr>
          <w:rFonts w:ascii="Times New Roman" w:hAnsi="Times New Roman"/>
          <w:sz w:val="21"/>
        </w:rPr>
        <w:t>magnitudo nilai kontribusi absolut fitur ke-i pada sampel pasien ke-k</w:t>
      </w:r>
    </w:p>
    <w:p>
      <w:pPr>
        <w:spacing w:line="360" w:lineRule="auto" w:after="120"/>
        <w:ind w:firstLine="720"/>
        <w:jc w:val="both"/>
      </w:pPr>
      <w:r>
        <w:rPr>
          <w:rFonts w:ascii="Times New Roman" w:hAnsi="Times New Roman"/>
          <w:sz w:val="24"/>
        </w:rPr>
        <w:t>Visualisasi nilai kepentingan global ini disajikan melalui grafik ringkasan lebah (SHAP summary beeswarm plot) yang memetakan sebaran nilai atribusi fitur beserta arah pengaruhnya terhadap risiko klinis pasien (Zhang et al., 2025; Bhattarai et al., 2024).</w:t>
      </w:r>
    </w:p>
    <w:p>
      <w:pPr>
        <w:spacing w:line="360" w:lineRule="auto" w:before="280" w:after="120"/>
        <w:jc w:val="left"/>
      </w:pPr>
      <w:r>
        <w:rPr>
          <w:rFonts w:ascii="Times New Roman" w:hAnsi="Times New Roman"/>
          <w:b/>
          <w:sz w:val="24"/>
        </w:rPr>
        <w:t>2.2 Hasil Penelitian yang Relevan</w:t>
      </w:r>
    </w:p>
    <w:p>
      <w:pPr>
        <w:spacing w:line="360" w:lineRule="auto" w:after="120"/>
        <w:ind w:firstLine="720"/>
        <w:jc w:val="both"/>
      </w:pPr>
      <w:r>
        <w:rPr>
          <w:rFonts w:ascii="Times New Roman" w:hAnsi="Times New Roman"/>
          <w:sz w:val="24"/>
        </w:rPr>
        <w:t>Kajian mengenai pemanfaatan algoritma pembelajaran mesin untuk klasifikasi gangguan tidur telah berkembang secara signifikan dalam beberapa tahun terakhir. Taher &amp; Ayon (2024) melakukan evaluasi komparatif terhadap empat algoritma machine learning pada dataset gaya hidup kesehatan tidur, di mana model Gradient Boosting berhasil membukukan nilai akurasi tertinggi mencapai 93,80%. Penelitian tersebut membuktikan bahwa algoritma berbasis pohon sangat efektif dalam memetakan korelasi antara parameter tidur dengan karakteristik fisik individu. Kendati demikian, studi tersebut masih memosisikan model sebagai kotak hitam yang tidak mampu menyajikan eksplanasi mengenai faktor risiko dominan yang dialami oleh masing-masing pasien secara spesifik. Di sisi lain, Lin et al. (2025) mengevaluasi pola tidur pada populasi mahasiswa berskala besar, namun sintesis temuannya masih terbatas pada tataran analisis statistik kelompok dan belum menyentuh personalisasi inferensi klinis.</w:t>
      </w:r>
    </w:p>
    <w:p>
      <w:pPr>
        <w:spacing w:line="360" w:lineRule="auto" w:after="120"/>
        <w:ind w:firstLine="720"/>
        <w:jc w:val="both"/>
      </w:pPr>
      <w:r>
        <w:rPr>
          <w:rFonts w:ascii="Times New Roman" w:hAnsi="Times New Roman"/>
          <w:sz w:val="24"/>
        </w:rPr>
        <w:t>Upaya menghadirkan transparansi pada model prediksi risiko tidur mulai dieksplorasi oleh sejumlah peneliti melalui integrasi metode Explainable AI. Ha et al. (2023) menerapkan algoritma XGBoost yang dikombinasikan dengan metode SHAP untuk memprediksi risiko gangguan tidur obstruktif berdasarkan data kuesioner medis, dengan hasil kurva AUROC melampaui angka 0,89. Meskipun sukses membuktikan kegunaan penjelasan model, metode SHAP pada studi tersebut hanya difungsikan sebatas instrumen penyaring fitur di awal, bukan sebagai media interpretasi interaktif per pasien. Celah metodologis lain tampak pada studi Xie et al. (2025) yang menerapkan One-Hot Encoding pada XGBoost, di mana prosedur pemecahan kolom kategori terbukti memecah nilai atribusi SHAP ke dalam sub-fitur biner terpisah. Fragmentasi nilai ini mengaburkan arti semantik variabel asli serta menyulitkan dokter dalam memahami profil risiko pasien.</w:t>
      </w:r>
    </w:p>
    <w:p>
      <w:pPr>
        <w:spacing w:line="360" w:lineRule="auto" w:after="120"/>
        <w:ind w:firstLine="720"/>
        <w:jc w:val="both"/>
      </w:pPr>
      <w:r>
        <w:rPr>
          <w:rFonts w:ascii="Times New Roman" w:hAnsi="Times New Roman"/>
          <w:sz w:val="24"/>
        </w:rPr>
        <w:t>Untuk menjembatani kesenjangan antara kebutuhan data kategorikal yang utuh dan transparansi inferensi klinis, kombinasi algoritma CatBoost dan SHAP mulai dieksplorasi dalam penelitian medis. Das et al. (2025) membuktikan keunggulan CatBoost dalam memprediksi insomnia, namun kajian tersebut masih terbatas pada klasifikasi biner pasien komorbid rumah sakit dengan visualisasi SHAP global. Di ranah onkologi, Srinivasu et al. (2024) mengintegrasikan CatBoost dan SHAP hingga meraih akurasi 99,3% dengan eksplanasi fitur yang jelas. Validasi keunggulan CatBoost atas data tabular medis juga diperkuat oleh Wolak et al. (2025). Meskipun demikian, penerapan sinergi CatBoost dan Tree-SHAP belum pernah dieksplorasi secara terpadu pada metrik gaya hidup digital untuk klasifikasi risiko multi-kelas. Mengisi celah riset inilah yang menjadi posisi kebaruan (novelty) utama penelitian ini, yakni menghadirkan sistem deteksi risiko yang akurat, transparan, dan dapat ditindaklanjuti secara nyata melalui rekomendasi Sleep Hygiene.</w:t>
      </w:r>
    </w:p>
    <w:p>
      <w:pPr>
        <w:spacing w:before="240" w:after="120"/>
        <w:jc w:val="center"/>
      </w:pPr>
      <w:r>
        <w:rPr>
          <w:rFonts w:ascii="Times New Roman" w:hAnsi="Times New Roman"/>
          <w:b/>
          <w:sz w:val="22"/>
        </w:rPr>
        <w:t>Tabel 2.1 Ringkasan Penelitian Terdahulu (State of the Art)</w:t>
      </w:r>
    </w:p>
    <w:tbl>
      <w:tblPr>
        <w:tblW w:type="auto" w:w="0"/>
        <w:jc w:val="center"/>
        <w:tblLayout w:type="fixed"/>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882"/>
        <w:gridCol w:w="882"/>
        <w:gridCol w:w="882"/>
        <w:gridCol w:w="882"/>
        <w:gridCol w:w="882"/>
        <w:gridCol w:w="882"/>
        <w:gridCol w:w="882"/>
        <w:gridCol w:w="882"/>
        <w:gridCol w:w="882"/>
      </w:tblGrid>
      <w:tr>
        <w:tc>
          <w:tcPr>
            <w:tcW w:type="dxa" w:w="432"/>
            <w:shd w:fill="F1F5F9"/>
          </w:tcPr>
          <w:p>
            <w:pPr>
              <w:spacing w:line="252" w:lineRule="auto" w:before="40" w:after="40"/>
              <w:jc w:val="center"/>
            </w:pPr>
            <w:r>
              <w:rPr>
                <w:rFonts w:ascii="Times New Roman" w:hAnsi="Times New Roman"/>
                <w:b/>
                <w:sz w:val="17"/>
              </w:rPr>
              <w:t>No</w:t>
            </w:r>
          </w:p>
        </w:tc>
        <w:tc>
          <w:tcPr>
            <w:tcW w:type="dxa" w:w="1224"/>
            <w:shd w:fill="F1F5F9"/>
          </w:tcPr>
          <w:p>
            <w:pPr>
              <w:spacing w:line="252" w:lineRule="auto" w:before="40" w:after="40"/>
              <w:jc w:val="center"/>
            </w:pPr>
            <w:r>
              <w:rPr>
                <w:rFonts w:ascii="Times New Roman" w:hAnsi="Times New Roman"/>
                <w:b/>
                <w:sz w:val="17"/>
              </w:rPr>
              <w:t>Peneliti (Tahun)</w:t>
            </w:r>
          </w:p>
        </w:tc>
        <w:tc>
          <w:tcPr>
            <w:tcW w:type="dxa" w:w="1368"/>
            <w:shd w:fill="F1F5F9"/>
          </w:tcPr>
          <w:p>
            <w:pPr>
              <w:spacing w:line="252" w:lineRule="auto" w:before="40" w:after="40"/>
              <w:jc w:val="center"/>
            </w:pPr>
            <w:r>
              <w:rPr>
                <w:rFonts w:ascii="Times New Roman" w:hAnsi="Times New Roman"/>
                <w:b/>
                <w:sz w:val="17"/>
              </w:rPr>
              <w:t>Judul Artikel</w:t>
            </w:r>
          </w:p>
        </w:tc>
        <w:tc>
          <w:tcPr>
            <w:tcW w:type="dxa" w:w="1224"/>
            <w:shd w:fill="F1F5F9"/>
          </w:tcPr>
          <w:p>
            <w:pPr>
              <w:spacing w:line="252" w:lineRule="auto" w:before="40" w:after="40"/>
              <w:jc w:val="center"/>
            </w:pPr>
            <w:r>
              <w:rPr>
                <w:rFonts w:ascii="Times New Roman" w:hAnsi="Times New Roman"/>
                <w:b/>
                <w:sz w:val="17"/>
              </w:rPr>
              <w:t>Dataset yang Digunakan</w:t>
            </w:r>
          </w:p>
        </w:tc>
        <w:tc>
          <w:tcPr>
            <w:tcW w:type="dxa" w:w="1152"/>
            <w:shd w:fill="F1F5F9"/>
          </w:tcPr>
          <w:p>
            <w:pPr>
              <w:spacing w:line="252" w:lineRule="auto" w:before="40" w:after="40"/>
              <w:jc w:val="center"/>
            </w:pPr>
            <w:r>
              <w:rPr>
                <w:rFonts w:ascii="Times New Roman" w:hAnsi="Times New Roman"/>
                <w:b/>
                <w:sz w:val="17"/>
              </w:rPr>
              <w:t>Algoritma dan Metode</w:t>
            </w:r>
          </w:p>
        </w:tc>
        <w:tc>
          <w:tcPr>
            <w:tcW w:type="dxa" w:w="936"/>
            <w:shd w:fill="F1F5F9"/>
          </w:tcPr>
          <w:p>
            <w:pPr>
              <w:spacing w:line="252" w:lineRule="auto" w:before="40" w:after="40"/>
              <w:jc w:val="center"/>
            </w:pPr>
            <w:r>
              <w:rPr>
                <w:rFonts w:ascii="Times New Roman" w:hAnsi="Times New Roman"/>
                <w:b/>
                <w:sz w:val="17"/>
              </w:rPr>
              <w:t>Metrik</w:t>
            </w:r>
          </w:p>
        </w:tc>
        <w:tc>
          <w:tcPr>
            <w:tcW w:type="dxa" w:w="1080"/>
            <w:shd w:fill="F1F5F9"/>
          </w:tcPr>
          <w:p>
            <w:pPr>
              <w:spacing w:line="252" w:lineRule="auto" w:before="40" w:after="40"/>
              <w:jc w:val="center"/>
            </w:pPr>
            <w:r>
              <w:rPr>
                <w:rFonts w:ascii="Times New Roman" w:hAnsi="Times New Roman"/>
                <w:b/>
                <w:sz w:val="17"/>
              </w:rPr>
              <w:t>Hasil</w:t>
            </w:r>
          </w:p>
        </w:tc>
        <w:tc>
          <w:tcPr>
            <w:tcW w:type="dxa" w:w="1224"/>
            <w:shd w:fill="F1F5F9"/>
          </w:tcPr>
          <w:p>
            <w:pPr>
              <w:spacing w:line="252" w:lineRule="auto" w:before="40" w:after="40"/>
              <w:jc w:val="center"/>
            </w:pPr>
            <w:r>
              <w:rPr>
                <w:rFonts w:ascii="Times New Roman" w:hAnsi="Times New Roman"/>
                <w:b/>
                <w:sz w:val="17"/>
              </w:rPr>
              <w:t>Celah (Research Gap)</w:t>
            </w:r>
          </w:p>
        </w:tc>
        <w:tc>
          <w:tcPr>
            <w:tcW w:type="dxa" w:w="1296"/>
            <w:shd w:fill="F1F5F9"/>
          </w:tcPr>
          <w:p>
            <w:pPr>
              <w:spacing w:line="252" w:lineRule="auto" w:before="40" w:after="40"/>
              <w:jc w:val="center"/>
            </w:pPr>
            <w:r>
              <w:rPr>
                <w:rFonts w:ascii="Times New Roman" w:hAnsi="Times New Roman"/>
                <w:b/>
                <w:sz w:val="17"/>
              </w:rPr>
              <w:t>Masalah yang Diselesaikan oleh Skripsi Ini</w:t>
            </w:r>
          </w:p>
        </w:tc>
      </w:tr>
      <w:tr>
        <w:tc>
          <w:tcPr>
            <w:tcW w:type="dxa" w:w="432"/>
          </w:tcPr>
          <w:p>
            <w:pPr>
              <w:spacing w:line="252" w:lineRule="auto" w:before="40" w:after="40"/>
              <w:jc w:val="center"/>
            </w:pPr>
            <w:r>
              <w:rPr>
                <w:rFonts w:ascii="Times New Roman" w:hAnsi="Times New Roman"/>
                <w:sz w:val="16"/>
              </w:rPr>
              <w:t>1</w:t>
            </w:r>
          </w:p>
        </w:tc>
        <w:tc>
          <w:tcPr>
            <w:tcW w:type="dxa" w:w="1224"/>
          </w:tcPr>
          <w:p>
            <w:pPr>
              <w:spacing w:line="252" w:lineRule="auto" w:before="40" w:after="40"/>
              <w:jc w:val="left"/>
            </w:pPr>
            <w:r>
              <w:rPr>
                <w:rFonts w:ascii="Times New Roman" w:hAnsi="Times New Roman"/>
                <w:sz w:val="16"/>
              </w:rPr>
              <w:t>Taher &amp; Ayon (2024)</w:t>
            </w:r>
          </w:p>
        </w:tc>
        <w:tc>
          <w:tcPr>
            <w:tcW w:type="dxa" w:w="1368"/>
          </w:tcPr>
          <w:p>
            <w:pPr>
              <w:spacing w:line="252" w:lineRule="auto" w:before="40" w:after="40"/>
              <w:jc w:val="left"/>
            </w:pPr>
            <w:r>
              <w:rPr>
                <w:rFonts w:ascii="Times New Roman" w:hAnsi="Times New Roman"/>
                <w:sz w:val="16"/>
              </w:rPr>
              <w:t>Exploring Sleep Disorders: A Comparative Analysis of Machine Learning Algorithms on Sleep Health and Lifestyle Data</w:t>
            </w:r>
          </w:p>
        </w:tc>
        <w:tc>
          <w:tcPr>
            <w:tcW w:type="dxa" w:w="1224"/>
          </w:tcPr>
          <w:p>
            <w:pPr>
              <w:spacing w:line="252" w:lineRule="auto" w:before="40" w:after="40"/>
              <w:jc w:val="left"/>
            </w:pPr>
            <w:r>
              <w:rPr>
                <w:rFonts w:ascii="Times New Roman" w:hAnsi="Times New Roman"/>
                <w:sz w:val="16"/>
              </w:rPr>
              <w:t>Sleep Health and Lifestyle Dataset (374 instans, 13 fitur demografi dan gaya hidup)</w:t>
            </w:r>
          </w:p>
        </w:tc>
        <w:tc>
          <w:tcPr>
            <w:tcW w:type="dxa" w:w="1152"/>
          </w:tcPr>
          <w:p>
            <w:pPr>
              <w:spacing w:line="252" w:lineRule="auto" w:before="40" w:after="40"/>
              <w:jc w:val="left"/>
            </w:pPr>
            <w:r>
              <w:rPr>
                <w:rFonts w:ascii="Times New Roman" w:hAnsi="Times New Roman"/>
                <w:sz w:val="16"/>
              </w:rPr>
              <w:t>Random Forest, AdaBoost, Logistic Regression, Gradient Boosting Machine (GBM)</w:t>
            </w:r>
          </w:p>
        </w:tc>
        <w:tc>
          <w:tcPr>
            <w:tcW w:type="dxa" w:w="936"/>
          </w:tcPr>
          <w:p>
            <w:pPr>
              <w:spacing w:line="252" w:lineRule="auto" w:before="40" w:after="40"/>
              <w:jc w:val="left"/>
            </w:pPr>
            <w:r>
              <w:rPr>
                <w:rFonts w:ascii="Times New Roman" w:hAnsi="Times New Roman"/>
                <w:sz w:val="16"/>
              </w:rPr>
              <w:t>Akurasi, Precision, Recall, F1-Score</w:t>
            </w:r>
          </w:p>
        </w:tc>
        <w:tc>
          <w:tcPr>
            <w:tcW w:type="dxa" w:w="1080"/>
          </w:tcPr>
          <w:p>
            <w:pPr>
              <w:spacing w:line="252" w:lineRule="auto" w:before="40" w:after="40"/>
              <w:jc w:val="left"/>
            </w:pPr>
            <w:r>
              <w:rPr>
                <w:rFonts w:ascii="Times New Roman" w:hAnsi="Times New Roman"/>
                <w:sz w:val="16"/>
              </w:rPr>
              <w:t>Gradient Boosting mencapai performa tertinggi: Akurasi 93,80%, Precision 94,10%, Recall 93,80%, dan F1-Score 93,90%.</w:t>
            </w:r>
          </w:p>
        </w:tc>
        <w:tc>
          <w:tcPr>
            <w:tcW w:type="dxa" w:w="1224"/>
          </w:tcPr>
          <w:p>
            <w:pPr>
              <w:spacing w:line="252" w:lineRule="auto" w:before="40" w:after="40"/>
              <w:jc w:val="left"/>
            </w:pPr>
            <w:r>
              <w:rPr>
                <w:rFonts w:ascii="Times New Roman" w:hAnsi="Times New Roman"/>
                <w:sz w:val="16"/>
              </w:rPr>
              <w:t>Model murni beroperasi sebagai black-box tanpa penjelasan kontribusi fitur individual, serta variabel kategorikal diubah via label encoding manual yang memicu bias ordinal buatan.</w:t>
            </w:r>
          </w:p>
        </w:tc>
        <w:tc>
          <w:tcPr>
            <w:tcW w:type="dxa" w:w="1296"/>
          </w:tcPr>
          <w:p>
            <w:pPr>
              <w:spacing w:line="252" w:lineRule="auto" w:before="40" w:after="40"/>
              <w:jc w:val="left"/>
            </w:pPr>
            <w:r>
              <w:rPr>
                <w:rFonts w:ascii="Times New Roman" w:hAnsi="Times New Roman"/>
                <w:sz w:val="16"/>
              </w:rPr>
              <w:t>Menerapkan algoritma CatBoost yang memproses fitur kategorikal secara native dan mengintegrasikan Tree-SHAP untuk membedah transparansi penyebab risiko secara personal per individu.</w:t>
            </w:r>
          </w:p>
        </w:tc>
      </w:tr>
      <w:tr>
        <w:tc>
          <w:tcPr>
            <w:tcW w:type="dxa" w:w="432"/>
          </w:tcPr>
          <w:p>
            <w:pPr>
              <w:spacing w:line="252" w:lineRule="auto" w:before="40" w:after="40"/>
              <w:jc w:val="center"/>
            </w:pPr>
            <w:r>
              <w:rPr>
                <w:rFonts w:ascii="Times New Roman" w:hAnsi="Times New Roman"/>
                <w:sz w:val="16"/>
              </w:rPr>
              <w:t>2</w:t>
            </w:r>
          </w:p>
        </w:tc>
        <w:tc>
          <w:tcPr>
            <w:tcW w:type="dxa" w:w="1224"/>
          </w:tcPr>
          <w:p>
            <w:pPr>
              <w:spacing w:line="252" w:lineRule="auto" w:before="40" w:after="40"/>
              <w:jc w:val="left"/>
            </w:pPr>
            <w:r>
              <w:rPr>
                <w:rFonts w:ascii="Times New Roman" w:hAnsi="Times New Roman"/>
                <w:sz w:val="16"/>
              </w:rPr>
              <w:t>Lin et al. (2025)</w:t>
            </w:r>
          </w:p>
        </w:tc>
        <w:tc>
          <w:tcPr>
            <w:tcW w:type="dxa" w:w="1368"/>
          </w:tcPr>
          <w:p>
            <w:pPr>
              <w:spacing w:line="252" w:lineRule="auto" w:before="40" w:after="40"/>
              <w:jc w:val="left"/>
            </w:pPr>
            <w:r>
              <w:rPr>
                <w:rFonts w:ascii="Times New Roman" w:hAnsi="Times New Roman"/>
                <w:sz w:val="16"/>
              </w:rPr>
              <w:t>Evaluation of Sleep Quality and Influencing Factors Among Medical and Non-Medical Students Using Machine Learning Techniques in Fujian During the Public Health Emergencies</w:t>
            </w:r>
          </w:p>
        </w:tc>
        <w:tc>
          <w:tcPr>
            <w:tcW w:type="dxa" w:w="1224"/>
          </w:tcPr>
          <w:p>
            <w:pPr>
              <w:spacing w:line="252" w:lineRule="auto" w:before="40" w:after="40"/>
              <w:jc w:val="left"/>
            </w:pPr>
            <w:r>
              <w:rPr>
                <w:rFonts w:ascii="Times New Roman" w:hAnsi="Times New Roman"/>
                <w:sz w:val="16"/>
              </w:rPr>
              <w:t>Data survei kuesioner PSQI 20.645 mahasiswa di Fujian, Tiongkok</w:t>
            </w:r>
          </w:p>
        </w:tc>
        <w:tc>
          <w:tcPr>
            <w:tcW w:type="dxa" w:w="1152"/>
          </w:tcPr>
          <w:p>
            <w:pPr>
              <w:spacing w:line="252" w:lineRule="auto" w:before="40" w:after="40"/>
              <w:jc w:val="left"/>
            </w:pPr>
            <w:r>
              <w:rPr>
                <w:rFonts w:ascii="Times New Roman" w:hAnsi="Times New Roman"/>
                <w:sz w:val="16"/>
              </w:rPr>
              <w:t>Artificial Neural Network (ANN), Decision Tree, Gradient Boosting Trees, Naive Bayes</w:t>
            </w:r>
          </w:p>
        </w:tc>
        <w:tc>
          <w:tcPr>
            <w:tcW w:type="dxa" w:w="936"/>
          </w:tcPr>
          <w:p>
            <w:pPr>
              <w:spacing w:line="252" w:lineRule="auto" w:before="40" w:after="40"/>
              <w:jc w:val="left"/>
            </w:pPr>
            <w:r>
              <w:rPr>
                <w:rFonts w:ascii="Times New Roman" w:hAnsi="Times New Roman"/>
                <w:sz w:val="16"/>
              </w:rPr>
              <w:t>Akurasi, Sensitivity, Specificity, AUC-ROC</w:t>
            </w:r>
          </w:p>
        </w:tc>
        <w:tc>
          <w:tcPr>
            <w:tcW w:type="dxa" w:w="1080"/>
          </w:tcPr>
          <w:p>
            <w:pPr>
              <w:spacing w:line="252" w:lineRule="auto" w:before="40" w:after="40"/>
              <w:jc w:val="left"/>
            </w:pPr>
            <w:r>
              <w:rPr>
                <w:rFonts w:ascii="Times New Roman" w:hAnsi="Times New Roman"/>
                <w:sz w:val="16"/>
              </w:rPr>
              <w:t>Model ensemble memetakan faktor risiko mahasiswa dengan Akurasi 86,40% dan AUC-ROC 0,891.</w:t>
            </w:r>
          </w:p>
        </w:tc>
        <w:tc>
          <w:tcPr>
            <w:tcW w:type="dxa" w:w="1224"/>
          </w:tcPr>
          <w:p>
            <w:pPr>
              <w:spacing w:line="252" w:lineRule="auto" w:before="40" w:after="40"/>
              <w:jc w:val="left"/>
            </w:pPr>
            <w:r>
              <w:rPr>
                <w:rFonts w:ascii="Times New Roman" w:hAnsi="Times New Roman"/>
                <w:sz w:val="16"/>
              </w:rPr>
              <w:t>Analisis hanya berlaku di tingkat agregat populasi (makro); tidak mampu memberikan penjelasan personal di tingkat individu (local explanation) untuk interaksi non-linier kebiasaan digital.</w:t>
            </w:r>
          </w:p>
        </w:tc>
        <w:tc>
          <w:tcPr>
            <w:tcW w:type="dxa" w:w="1296"/>
          </w:tcPr>
          <w:p>
            <w:pPr>
              <w:spacing w:line="252" w:lineRule="auto" w:before="40" w:after="40"/>
              <w:jc w:val="left"/>
            </w:pPr>
            <w:r>
              <w:rPr>
                <w:rFonts w:ascii="Times New Roman" w:hAnsi="Times New Roman"/>
                <w:sz w:val="16"/>
              </w:rPr>
              <w:t>Menganalisis interaksi non-linier fitur gaya hidup secara granular per individu menggunakan CatBoost dan visualisasi Tree-SHAP individual, bukan sekadar agregasi populasi.</w:t>
            </w:r>
          </w:p>
        </w:tc>
      </w:tr>
      <w:tr>
        <w:tc>
          <w:tcPr>
            <w:tcW w:type="dxa" w:w="432"/>
          </w:tcPr>
          <w:p>
            <w:pPr>
              <w:spacing w:line="252" w:lineRule="auto" w:before="40" w:after="40"/>
              <w:jc w:val="center"/>
            </w:pPr>
            <w:r>
              <w:rPr>
                <w:rFonts w:ascii="Times New Roman" w:hAnsi="Times New Roman"/>
                <w:sz w:val="16"/>
              </w:rPr>
              <w:t>3</w:t>
            </w:r>
          </w:p>
        </w:tc>
        <w:tc>
          <w:tcPr>
            <w:tcW w:type="dxa" w:w="1224"/>
          </w:tcPr>
          <w:p>
            <w:pPr>
              <w:spacing w:line="252" w:lineRule="auto" w:before="40" w:after="40"/>
              <w:jc w:val="left"/>
            </w:pPr>
            <w:r>
              <w:rPr>
                <w:rFonts w:ascii="Times New Roman" w:hAnsi="Times New Roman"/>
                <w:sz w:val="16"/>
              </w:rPr>
              <w:t>Ha et al. (2023)</w:t>
            </w:r>
          </w:p>
        </w:tc>
        <w:tc>
          <w:tcPr>
            <w:tcW w:type="dxa" w:w="1368"/>
          </w:tcPr>
          <w:p>
            <w:pPr>
              <w:spacing w:line="252" w:lineRule="auto" w:before="40" w:after="40"/>
              <w:jc w:val="left"/>
            </w:pPr>
            <w:r>
              <w:rPr>
                <w:rFonts w:ascii="Times New Roman" w:hAnsi="Times New Roman"/>
                <w:sz w:val="16"/>
              </w:rPr>
              <w:t>Predicting the Risk of Sleep Disorders Using a Machine Learning–Based Simple Questionnaire: Development and Validation Study</w:t>
            </w:r>
          </w:p>
        </w:tc>
        <w:tc>
          <w:tcPr>
            <w:tcW w:type="dxa" w:w="1224"/>
          </w:tcPr>
          <w:p>
            <w:pPr>
              <w:spacing w:line="252" w:lineRule="auto" w:before="40" w:after="40"/>
              <w:jc w:val="left"/>
            </w:pPr>
            <w:r>
              <w:rPr>
                <w:rFonts w:ascii="Times New Roman" w:hAnsi="Times New Roman"/>
                <w:sz w:val="16"/>
              </w:rPr>
              <w:t>Data klinis 4.622 pasien dari 2 rumah sakit (Samsung Medical Center &amp; Ewha Womans University Medical Center)</w:t>
            </w:r>
          </w:p>
        </w:tc>
        <w:tc>
          <w:tcPr>
            <w:tcW w:type="dxa" w:w="1152"/>
          </w:tcPr>
          <w:p>
            <w:pPr>
              <w:spacing w:line="252" w:lineRule="auto" w:before="40" w:after="40"/>
              <w:jc w:val="left"/>
            </w:pPr>
            <w:r>
              <w:rPr>
                <w:rFonts w:ascii="Times New Roman" w:hAnsi="Times New Roman"/>
                <w:sz w:val="16"/>
              </w:rPr>
              <w:t>Extreme Gradient Boosting (XGBoost) dengan seleksi fitur SHAP</w:t>
            </w:r>
          </w:p>
        </w:tc>
        <w:tc>
          <w:tcPr>
            <w:tcW w:type="dxa" w:w="936"/>
          </w:tcPr>
          <w:p>
            <w:pPr>
              <w:spacing w:line="252" w:lineRule="auto" w:before="40" w:after="40"/>
              <w:jc w:val="left"/>
            </w:pPr>
            <w:r>
              <w:rPr>
                <w:rFonts w:ascii="Times New Roman" w:hAnsi="Times New Roman"/>
                <w:sz w:val="16"/>
              </w:rPr>
              <w:t>AUROC, Sensitivity, Specificity, Brier Score</w:t>
            </w:r>
          </w:p>
        </w:tc>
        <w:tc>
          <w:tcPr>
            <w:tcW w:type="dxa" w:w="1080"/>
          </w:tcPr>
          <w:p>
            <w:pPr>
              <w:spacing w:line="252" w:lineRule="auto" w:before="40" w:after="40"/>
              <w:jc w:val="left"/>
            </w:pPr>
            <w:r>
              <w:rPr>
                <w:rFonts w:ascii="Times New Roman" w:hAnsi="Times New Roman"/>
                <w:sz w:val="16"/>
              </w:rPr>
              <w:t>AUROC &gt; 0,897 untuk ketiga gangguan tidur (OSA, COMISA, insomnia); menghasilkan kuesioner ringkas SLEEPS 9 item.</w:t>
            </w:r>
          </w:p>
        </w:tc>
        <w:tc>
          <w:tcPr>
            <w:tcW w:type="dxa" w:w="1224"/>
          </w:tcPr>
          <w:p>
            <w:pPr>
              <w:spacing w:line="252" w:lineRule="auto" w:before="40" w:after="40"/>
              <w:jc w:val="left"/>
            </w:pPr>
            <w:r>
              <w:rPr>
                <w:rFonts w:ascii="Times New Roman" w:hAnsi="Times New Roman"/>
                <w:sz w:val="16"/>
              </w:rPr>
              <w:t>Memerlukan encoding manual pada XGBoost; dataset berbasis kuesioner klinis dan data antropometrik statis (bukan kebiasaan harian modifiable); SHAP hanya untuk seleksi fitur awal, bukan visualisasi real-time per pasien.</w:t>
            </w:r>
          </w:p>
        </w:tc>
        <w:tc>
          <w:tcPr>
            <w:tcW w:type="dxa" w:w="1296"/>
          </w:tcPr>
          <w:p>
            <w:pPr>
              <w:spacing w:line="252" w:lineRule="auto" w:before="40" w:after="40"/>
              <w:jc w:val="left"/>
            </w:pPr>
            <w:r>
              <w:rPr>
                <w:rFonts w:ascii="Times New Roman" w:hAnsi="Times New Roman"/>
                <w:sz w:val="16"/>
              </w:rPr>
              <w:t>Menggunakan parameter gaya hidup harian yang dapat diubah (modifiable digital lifestyle), memproses data kategorikal secara native dengan CatBoost, dan menyajikan penjelasan SHAP interaktif real-time per pasien dalam sistem CDSS.</w:t>
            </w:r>
          </w:p>
        </w:tc>
      </w:tr>
      <w:tr>
        <w:tc>
          <w:tcPr>
            <w:tcW w:type="dxa" w:w="432"/>
          </w:tcPr>
          <w:p>
            <w:pPr>
              <w:spacing w:line="252" w:lineRule="auto" w:before="40" w:after="40"/>
              <w:jc w:val="center"/>
            </w:pPr>
            <w:r>
              <w:rPr>
                <w:rFonts w:ascii="Times New Roman" w:hAnsi="Times New Roman"/>
                <w:sz w:val="16"/>
              </w:rPr>
              <w:t>4</w:t>
            </w:r>
          </w:p>
        </w:tc>
        <w:tc>
          <w:tcPr>
            <w:tcW w:type="dxa" w:w="1224"/>
          </w:tcPr>
          <w:p>
            <w:pPr>
              <w:spacing w:line="252" w:lineRule="auto" w:before="40" w:after="40"/>
              <w:jc w:val="left"/>
            </w:pPr>
            <w:r>
              <w:rPr>
                <w:rFonts w:ascii="Times New Roman" w:hAnsi="Times New Roman"/>
                <w:sz w:val="16"/>
              </w:rPr>
              <w:t>Xie et al. (2025)</w:t>
            </w:r>
          </w:p>
        </w:tc>
        <w:tc>
          <w:tcPr>
            <w:tcW w:type="dxa" w:w="1368"/>
          </w:tcPr>
          <w:p>
            <w:pPr>
              <w:spacing w:line="252" w:lineRule="auto" w:before="40" w:after="40"/>
              <w:jc w:val="left"/>
            </w:pPr>
            <w:r>
              <w:rPr>
                <w:rFonts w:ascii="Times New Roman" w:hAnsi="Times New Roman"/>
                <w:sz w:val="16"/>
              </w:rPr>
              <w:t>Identifying Influencing Factors Associated with Sleep Quality in Undergraduates Based on Partial Least Squares Regression and XGBoost</w:t>
            </w:r>
          </w:p>
        </w:tc>
        <w:tc>
          <w:tcPr>
            <w:tcW w:type="dxa" w:w="1224"/>
          </w:tcPr>
          <w:p>
            <w:pPr>
              <w:spacing w:line="252" w:lineRule="auto" w:before="40" w:after="40"/>
              <w:jc w:val="left"/>
            </w:pPr>
            <w:r>
              <w:rPr>
                <w:rFonts w:ascii="Times New Roman" w:hAnsi="Times New Roman"/>
                <w:sz w:val="16"/>
              </w:rPr>
              <w:t>Data kuesioner gaya hidup 1.842 mahasiswa sarjana</w:t>
            </w:r>
          </w:p>
        </w:tc>
        <w:tc>
          <w:tcPr>
            <w:tcW w:type="dxa" w:w="1152"/>
          </w:tcPr>
          <w:p>
            <w:pPr>
              <w:spacing w:line="252" w:lineRule="auto" w:before="40" w:after="40"/>
              <w:jc w:val="left"/>
            </w:pPr>
            <w:r>
              <w:rPr>
                <w:rFonts w:ascii="Times New Roman" w:hAnsi="Times New Roman"/>
                <w:sz w:val="16"/>
              </w:rPr>
              <w:t>Partial Least Squares Regression (PLSR) dan XGBoost</w:t>
            </w:r>
          </w:p>
        </w:tc>
        <w:tc>
          <w:tcPr>
            <w:tcW w:type="dxa" w:w="936"/>
          </w:tcPr>
          <w:p>
            <w:pPr>
              <w:spacing w:line="252" w:lineRule="auto" w:before="40" w:after="40"/>
              <w:jc w:val="left"/>
            </w:pPr>
            <w:r>
              <w:rPr>
                <w:rFonts w:ascii="Times New Roman" w:hAnsi="Times New Roman"/>
                <w:sz w:val="16"/>
              </w:rPr>
              <w:t>R², RMSE, MAE, Variable Importance in Projection (VIP)</w:t>
            </w:r>
          </w:p>
        </w:tc>
        <w:tc>
          <w:tcPr>
            <w:tcW w:type="dxa" w:w="1080"/>
          </w:tcPr>
          <w:p>
            <w:pPr>
              <w:spacing w:line="252" w:lineRule="auto" w:before="40" w:after="40"/>
              <w:jc w:val="left"/>
            </w:pPr>
            <w:r>
              <w:rPr>
                <w:rFonts w:ascii="Times New Roman" w:hAnsi="Times New Roman"/>
                <w:sz w:val="16"/>
              </w:rPr>
              <w:t>XGBoost mengidentifikasi screen time, tingkat stres, dan konsumsi kafein sebagai prediktor utama kualitas tidur (R² = 0,782, RMSE = 0,412).</w:t>
            </w:r>
          </w:p>
        </w:tc>
        <w:tc>
          <w:tcPr>
            <w:tcW w:type="dxa" w:w="1224"/>
          </w:tcPr>
          <w:p>
            <w:pPr>
              <w:spacing w:line="252" w:lineRule="auto" w:before="40" w:after="40"/>
              <w:jc w:val="left"/>
            </w:pPr>
            <w:r>
              <w:rPr>
                <w:rFonts w:ascii="Times New Roman" w:hAnsi="Times New Roman"/>
                <w:sz w:val="16"/>
              </w:rPr>
              <w:t>One-hot encoding pada data kategori memecah fitur menjadi variabel dummy, memicu fragmentasi interpretasi; rekomendasi hanya bersifat umum tanpa takaran target perubahan kebiasaan yang terukur.</w:t>
            </w:r>
          </w:p>
        </w:tc>
        <w:tc>
          <w:tcPr>
            <w:tcW w:type="dxa" w:w="1296"/>
          </w:tcPr>
          <w:p>
            <w:pPr>
              <w:spacing w:line="252" w:lineRule="auto" w:before="40" w:after="40"/>
              <w:jc w:val="left"/>
            </w:pPr>
            <w:r>
              <w:rPr>
                <w:rFonts w:ascii="Times New Roman" w:hAnsi="Times New Roman"/>
                <w:sz w:val="16"/>
              </w:rPr>
              <w:t>Menghindari fragmentasi variabel dengan penanganan native CatBoost dan memetakan nilai SHAP langsung menjadi target intervensi perilaku kuantitatif (personalized actionable targets) seperti batas menit main HP dan cut-off kafein.</w:t>
            </w:r>
          </w:p>
        </w:tc>
      </w:tr>
      <w:tr>
        <w:tc>
          <w:tcPr>
            <w:tcW w:type="dxa" w:w="432"/>
          </w:tcPr>
          <w:p>
            <w:pPr>
              <w:spacing w:line="252" w:lineRule="auto" w:before="40" w:after="40"/>
              <w:jc w:val="center"/>
            </w:pPr>
            <w:r>
              <w:rPr>
                <w:rFonts w:ascii="Times New Roman" w:hAnsi="Times New Roman"/>
                <w:sz w:val="16"/>
              </w:rPr>
              <w:t>5</w:t>
            </w:r>
          </w:p>
        </w:tc>
        <w:tc>
          <w:tcPr>
            <w:tcW w:type="dxa" w:w="1224"/>
          </w:tcPr>
          <w:p>
            <w:pPr>
              <w:spacing w:line="252" w:lineRule="auto" w:before="40" w:after="40"/>
              <w:jc w:val="left"/>
            </w:pPr>
            <w:r>
              <w:rPr>
                <w:rFonts w:ascii="Times New Roman" w:hAnsi="Times New Roman"/>
                <w:sz w:val="16"/>
              </w:rPr>
              <w:t>Das et al. (2025)</w:t>
            </w:r>
          </w:p>
        </w:tc>
        <w:tc>
          <w:tcPr>
            <w:tcW w:type="dxa" w:w="1368"/>
          </w:tcPr>
          <w:p>
            <w:pPr>
              <w:spacing w:line="252" w:lineRule="auto" w:before="40" w:after="40"/>
              <w:jc w:val="left"/>
            </w:pPr>
            <w:r>
              <w:rPr>
                <w:rFonts w:ascii="Times New Roman" w:hAnsi="Times New Roman"/>
                <w:sz w:val="16"/>
              </w:rPr>
              <w:t>Prevalence and Factors Associated with Insomnia Among Chronic Disease Patients in Bangladesh: A Machine Learning Study</w:t>
            </w:r>
          </w:p>
        </w:tc>
        <w:tc>
          <w:tcPr>
            <w:tcW w:type="dxa" w:w="1224"/>
          </w:tcPr>
          <w:p>
            <w:pPr>
              <w:spacing w:line="252" w:lineRule="auto" w:before="40" w:after="40"/>
              <w:jc w:val="left"/>
            </w:pPr>
            <w:r>
              <w:rPr>
                <w:rFonts w:ascii="Times New Roman" w:hAnsi="Times New Roman"/>
                <w:sz w:val="16"/>
              </w:rPr>
              <w:t>Data survei klinis 1.222 pasien penyakit kronis di Bangladesh</w:t>
            </w:r>
          </w:p>
        </w:tc>
        <w:tc>
          <w:tcPr>
            <w:tcW w:type="dxa" w:w="1152"/>
          </w:tcPr>
          <w:p>
            <w:pPr>
              <w:spacing w:line="252" w:lineRule="auto" w:before="40" w:after="40"/>
              <w:jc w:val="left"/>
            </w:pPr>
            <w:r>
              <w:rPr>
                <w:rFonts w:ascii="Times New Roman" w:hAnsi="Times New Roman"/>
                <w:sz w:val="16"/>
              </w:rPr>
              <w:t>KNN, Random Forest, SVM, GBM, XGBoost, dan CatBoost</w:t>
            </w:r>
          </w:p>
        </w:tc>
        <w:tc>
          <w:tcPr>
            <w:tcW w:type="dxa" w:w="936"/>
          </w:tcPr>
          <w:p>
            <w:pPr>
              <w:spacing w:line="252" w:lineRule="auto" w:before="40" w:after="40"/>
              <w:jc w:val="left"/>
            </w:pPr>
            <w:r>
              <w:rPr>
                <w:rFonts w:ascii="Times New Roman" w:hAnsi="Times New Roman"/>
                <w:sz w:val="16"/>
              </w:rPr>
              <w:t>Akurasi, Precision, Recall, F1-Score, AUC-ROC</w:t>
            </w:r>
          </w:p>
        </w:tc>
        <w:tc>
          <w:tcPr>
            <w:tcW w:type="dxa" w:w="1080"/>
          </w:tcPr>
          <w:p>
            <w:pPr>
              <w:spacing w:line="252" w:lineRule="auto" w:before="40" w:after="40"/>
              <w:jc w:val="left"/>
            </w:pPr>
            <w:r>
              <w:rPr>
                <w:rFonts w:ascii="Times New Roman" w:hAnsi="Times New Roman"/>
                <w:sz w:val="16"/>
              </w:rPr>
              <w:t>CatBoost meraih performa tertinggi di antara seluruh model: Akurasi 71,67%, F1-Score 71,23%, dan AUC-ROC 77,27%.</w:t>
            </w:r>
          </w:p>
        </w:tc>
        <w:tc>
          <w:tcPr>
            <w:tcW w:type="dxa" w:w="1224"/>
          </w:tcPr>
          <w:p>
            <w:pPr>
              <w:spacing w:line="252" w:lineRule="auto" w:before="40" w:after="40"/>
              <w:jc w:val="left"/>
            </w:pPr>
            <w:r>
              <w:rPr>
                <w:rFonts w:ascii="Times New Roman" w:hAnsi="Times New Roman"/>
                <w:sz w:val="16"/>
              </w:rPr>
              <w:t>Target klasifikasi terbatas biner sederhana (Insomnia vs Non-Insomnia); sampel terbatas pada pasien penyakit kronis; evaluasi SHAP hanya beeswarm global; tidak diimplementasikan ke dalam prototipe CDSS interaktif.</w:t>
            </w:r>
          </w:p>
        </w:tc>
        <w:tc>
          <w:tcPr>
            <w:tcW w:type="dxa" w:w="1296"/>
          </w:tcPr>
          <w:p>
            <w:pPr>
              <w:spacing w:line="252" w:lineRule="auto" w:before="40" w:after="40"/>
              <w:jc w:val="left"/>
            </w:pPr>
            <w:r>
              <w:rPr>
                <w:rFonts w:ascii="Times New Roman" w:hAnsi="Times New Roman"/>
                <w:sz w:val="16"/>
              </w:rPr>
              <w:t>Mengklasifikasikan 4 tingkatan keparahan risiko secara bertingkat (Healthy, Mild, Moderate, Severe), pada populasi umum gaya hidup digital 100.000 instans, dilengkapi penjelasan lokal individual dan purwarupa sistem CDSS interaktif dengan simulasi What-If.</w:t>
            </w:r>
          </w:p>
        </w:tc>
      </w:tr>
      <w:tr>
        <w:tc>
          <w:tcPr>
            <w:tcW w:type="dxa" w:w="432"/>
          </w:tcPr>
          <w:p>
            <w:pPr>
              <w:spacing w:line="252" w:lineRule="auto" w:before="40" w:after="40"/>
              <w:jc w:val="center"/>
            </w:pPr>
            <w:r>
              <w:rPr>
                <w:rFonts w:ascii="Times New Roman" w:hAnsi="Times New Roman"/>
                <w:sz w:val="16"/>
              </w:rPr>
              <w:t>6</w:t>
            </w:r>
          </w:p>
        </w:tc>
        <w:tc>
          <w:tcPr>
            <w:tcW w:type="dxa" w:w="1224"/>
          </w:tcPr>
          <w:p>
            <w:pPr>
              <w:spacing w:line="252" w:lineRule="auto" w:before="40" w:after="40"/>
              <w:jc w:val="left"/>
            </w:pPr>
            <w:r>
              <w:rPr>
                <w:rFonts w:ascii="Times New Roman" w:hAnsi="Times New Roman"/>
                <w:sz w:val="16"/>
              </w:rPr>
              <w:t>Srinivasu et al. (2024)</w:t>
            </w:r>
          </w:p>
        </w:tc>
        <w:tc>
          <w:tcPr>
            <w:tcW w:type="dxa" w:w="1368"/>
          </w:tcPr>
          <w:p>
            <w:pPr>
              <w:spacing w:line="252" w:lineRule="auto" w:before="40" w:after="40"/>
              <w:jc w:val="left"/>
            </w:pPr>
            <w:r>
              <w:rPr>
                <w:rFonts w:ascii="Times New Roman" w:hAnsi="Times New Roman"/>
                <w:sz w:val="16"/>
              </w:rPr>
              <w:t>XAI-Driven CatBoost Multi-Layer Perceptron Neural Network for Analyzing Breast Cancer</w:t>
            </w:r>
          </w:p>
        </w:tc>
        <w:tc>
          <w:tcPr>
            <w:tcW w:type="dxa" w:w="1224"/>
          </w:tcPr>
          <w:p>
            <w:pPr>
              <w:spacing w:line="252" w:lineRule="auto" w:before="40" w:after="40"/>
              <w:jc w:val="left"/>
            </w:pPr>
            <w:r>
              <w:rPr>
                <w:rFonts w:ascii="Times New Roman" w:hAnsi="Times New Roman"/>
                <w:sz w:val="16"/>
              </w:rPr>
              <w:t>Breast Cancer Wisconsin Diagnostic Dataset (WDBC) (569 instans, 30 fitur laboratorium)</w:t>
            </w:r>
          </w:p>
        </w:tc>
        <w:tc>
          <w:tcPr>
            <w:tcW w:type="dxa" w:w="1152"/>
          </w:tcPr>
          <w:p>
            <w:pPr>
              <w:spacing w:line="252" w:lineRule="auto" w:before="40" w:after="40"/>
              <w:jc w:val="left"/>
            </w:pPr>
            <w:r>
              <w:rPr>
                <w:rFonts w:ascii="Times New Roman" w:hAnsi="Times New Roman"/>
                <w:sz w:val="16"/>
              </w:rPr>
              <w:t>Hybrid CatBoost + Multi-Layer Perceptron (MLP) dengan seleksi fitur ANOVA dan Tree-SHAP</w:t>
            </w:r>
          </w:p>
        </w:tc>
        <w:tc>
          <w:tcPr>
            <w:tcW w:type="dxa" w:w="936"/>
          </w:tcPr>
          <w:p>
            <w:pPr>
              <w:spacing w:line="252" w:lineRule="auto" w:before="40" w:after="40"/>
              <w:jc w:val="left"/>
            </w:pPr>
            <w:r>
              <w:rPr>
                <w:rFonts w:ascii="Times New Roman" w:hAnsi="Times New Roman"/>
                <w:sz w:val="16"/>
              </w:rPr>
              <w:t>Akurasi, Precision, Recall, F1-Score, Specificity</w:t>
            </w:r>
          </w:p>
        </w:tc>
        <w:tc>
          <w:tcPr>
            <w:tcW w:type="dxa" w:w="1080"/>
          </w:tcPr>
          <w:p>
            <w:pPr>
              <w:spacing w:line="252" w:lineRule="auto" w:before="40" w:after="40"/>
              <w:jc w:val="left"/>
            </w:pPr>
            <w:r>
              <w:rPr>
                <w:rFonts w:ascii="Times New Roman" w:hAnsi="Times New Roman"/>
                <w:sz w:val="16"/>
              </w:rPr>
              <w:t>Mencapai Akurasi 99,30%, Precision 99,20%, Recall 99,40%, F1-Score 99,30%.</w:t>
            </w:r>
          </w:p>
        </w:tc>
        <w:tc>
          <w:tcPr>
            <w:tcW w:type="dxa" w:w="1224"/>
          </w:tcPr>
          <w:p>
            <w:pPr>
              <w:spacing w:line="252" w:lineRule="auto" w:before="40" w:after="40"/>
              <w:jc w:val="left"/>
            </w:pPr>
            <w:r>
              <w:rPr>
                <w:rFonts w:ascii="Times New Roman" w:hAnsi="Times New Roman"/>
                <w:sz w:val="16"/>
              </w:rPr>
              <w:t>Diterapkan pada data laboratorium patologis onkologi dengan parameter fisik yang tidak dapat diubah (non-modifiable biological attributes); belum mengintegrasikan modul simulasi perubahan perilaku pasien.</w:t>
            </w:r>
          </w:p>
        </w:tc>
        <w:tc>
          <w:tcPr>
            <w:tcW w:type="dxa" w:w="1296"/>
          </w:tcPr>
          <w:p>
            <w:pPr>
              <w:spacing w:line="252" w:lineRule="auto" w:before="40" w:after="40"/>
              <w:jc w:val="left"/>
            </w:pPr>
            <w:r>
              <w:rPr>
                <w:rFonts w:ascii="Times New Roman" w:hAnsi="Times New Roman"/>
                <w:sz w:val="16"/>
              </w:rPr>
              <w:t>Mengadaptasi metodologi CatBoost dan SHAP ke ranah metrik perilaku gaya hidup digital yang modifiable, memungkinkan pengguna menguji perubahan kebiasaan secara simulatif pada antarmuka CDSS.</w:t>
            </w:r>
          </w:p>
        </w:tc>
      </w:tr>
    </w:tbl>
    <w:p>
      <w:pPr>
        <w:spacing w:line="360" w:lineRule="auto" w:before="280" w:after="120"/>
        <w:jc w:val="left"/>
      </w:pPr>
      <w:r>
        <w:rPr>
          <w:rFonts w:ascii="Times New Roman" w:hAnsi="Times New Roman"/>
          <w:b/>
          <w:sz w:val="24"/>
        </w:rPr>
        <w:t>2.3 Kerangka Berpikir</w:t>
      </w:r>
    </w:p>
    <w:p>
      <w:pPr>
        <w:spacing w:line="360" w:lineRule="auto" w:after="120"/>
        <w:ind w:firstLine="720"/>
        <w:jc w:val="both"/>
      </w:pPr>
      <w:r>
        <w:rPr>
          <w:rFonts w:ascii="Times New Roman" w:hAnsi="Times New Roman"/>
          <w:sz w:val="24"/>
        </w:rPr>
        <w:t>Kerangka berpikir dalam penelitian ini dibangun secara komprehensif dan runtut guna memecahkan tantangan trade-off klasik antara tuntutan akurasi model komputasi yang tinggi dengan kebutuhan interpretabilitas klinis yang transparan dalam penapisan risiko gangguan tidur. Titik tolak masalah berakar dari meluasnya fenomena disrupsi tidur di era modern akibat kebiasaan digital yang tidak sehat (seperti tingginya durasi screen time sebelum tidur dan technostress), yang terekam dalam dataset tabular heterogen serta mengalami ketimpangan distribusi kelas yang berat. Permasalahan ini diselesaikan melalui implementasi algoritma pembelajaran mesin mutakhir CatBoost Classifier yang mengolah fitur kategorikal tanpa One-Hot Encoding via Ordered Target Statistics, serta menerapkan pembobotan biaya kelas (Cost-Sensitive Learning) untuk melindungi kelas minoritas berisiko tinggi (Severe).</w:t>
      </w:r>
    </w:p>
    <w:p>
      <w:pPr>
        <w:spacing w:line="360" w:lineRule="auto" w:after="120"/>
        <w:ind w:firstLine="720"/>
        <w:jc w:val="both"/>
      </w:pPr>
      <w:r>
        <w:rPr>
          <w:rFonts w:ascii="Times New Roman" w:hAnsi="Times New Roman"/>
          <w:sz w:val="24"/>
        </w:rPr>
        <w:t>Guna menghilangkan sifat kotak hitam (black box) dari model ansambel CatBoost, lapisan interpretabilitas Explainable AI berbasis algoritma Tree-SHAP diintegrasikan secara terpadu. Modul Tree-SHAP mengekstraksi nilai kontribusi marginal fitur secara aditif pada tingkat global (summary plot) dan tingkat lokal per pasien (waterfall plot) tanpa mengalami distorsi fragmentasi nilai kategori. Pada tahap akhir, atribusi fitur personal tersebut ditranslasikan menjadi rekomendasi perilaku klinis berbasis standar kebersihan tidur (Sleep Hygiene), sehingga menghasilkan sebuah purwarupa sistem pendukung keputusan klinis (Clinical Decision Support System / CDSS) berbasis web yang akurat, terpercaya, dan mudah ditindaklanjuti secara nyata oleh tenaga kesehatan maupun masyarakat luas.</w:t>
      </w:r>
    </w:p>
    <w:p>
      <w:pPr>
        <w:spacing w:before="200" w:after="80"/>
        <w:jc w:val="center"/>
      </w:pPr>
      <w:r>
        <w:drawing>
          <wp:inline xmlns:a="http://schemas.openxmlformats.org/drawingml/2006/main" xmlns:pic="http://schemas.openxmlformats.org/drawingml/2006/picture">
            <wp:extent cx="5669280" cy="11744492"/>
            <wp:docPr id="1" name="Picture 1"/>
            <wp:cNvGraphicFramePr>
              <a:graphicFrameLocks noChangeAspect="1"/>
            </wp:cNvGraphicFramePr>
            <a:graphic>
              <a:graphicData uri="http://schemas.openxmlformats.org/drawingml/2006/picture">
                <pic:pic>
                  <pic:nvPicPr>
                    <pic:cNvPr id="0" name="Gambar_2_1_Kerangka_Berpikir.png"/>
                    <pic:cNvPicPr/>
                  </pic:nvPicPr>
                  <pic:blipFill>
                    <a:blip r:embed="rId9"/>
                    <a:stretch>
                      <a:fillRect/>
                    </a:stretch>
                  </pic:blipFill>
                  <pic:spPr>
                    <a:xfrm>
                      <a:off x="0" y="0"/>
                      <a:ext cx="5669280" cy="11744492"/>
                    </a:xfrm>
                    <a:prstGeom prst="rect"/>
                  </pic:spPr>
                </pic:pic>
              </a:graphicData>
            </a:graphic>
          </wp:inline>
        </w:drawing>
      </w:r>
    </w:p>
    <w:p>
      <w:pPr>
        <w:spacing w:before="40" w:after="240"/>
        <w:jc w:val="center"/>
      </w:pPr>
      <w:r>
        <w:rPr>
          <w:rFonts w:ascii="Times New Roman" w:hAnsi="Times New Roman"/>
          <w:b/>
          <w:sz w:val="22"/>
        </w:rPr>
        <w:t>Gambar 2.1 Bagan Kerangka Berpikir Integrasi CatBoost dan Tree-SHAP untuk Deteksi Risiko Gangguan Tidur</w:t>
      </w:r>
    </w:p>
    <w:p>
      <w:pPr>
        <w:spacing w:line="360" w:lineRule="auto" w:before="280" w:after="120"/>
        <w:jc w:val="left"/>
      </w:pPr>
      <w:r>
        <w:rPr>
          <w:rFonts w:ascii="Times New Roman" w:hAnsi="Times New Roman"/>
          <w:b/>
          <w:sz w:val="24"/>
        </w:rPr>
        <w:t>2.4 Pertanyaan Penelitian</w:t>
      </w:r>
    </w:p>
    <w:p>
      <w:pPr>
        <w:spacing w:line="360" w:lineRule="auto" w:after="120"/>
        <w:ind w:firstLine="0"/>
        <w:jc w:val="both"/>
      </w:pPr>
      <w:r>
        <w:rPr>
          <w:rFonts w:ascii="Times New Roman" w:hAnsi="Times New Roman"/>
          <w:sz w:val="24"/>
        </w:rPr>
        <w:t>Berdasarkan penegasan rumusan masalah dan seluruh kerangka teoretis yang telah diuraikan, maka pertanyaan penelitian operasional yang akan diuji dan dijawab melalui tahapan eksperimen ini dirumuskan secara berpasangan satu-lawan-satu sebagai berikut:</w:t>
        <w:br/>
        <w:t>1. Bagaimana tingkat kinerja, presisi, dan akurasi klasifikasi algoritma CatBoost dalam mengidentifikasi kategori risiko gangguan tidur pada dataset metrik gaya hidup digital yang mengalami ketidakseimbangan kelas (class imbalance)?</w:t>
        <w:br/>
        <w:t>2. Bagaimana kapabilitas metode Tree-SHAP dalam mengekstraksi serta menyajikan visualisasi atribusi kontribusi fitur gaya hidup secara utuh tanpa mengalami distorsi fragmentasi nilai kategori?</w:t>
        <w:br/>
        <w:t>3. Bagaimana rancangan integrasi penjelasan lokal Tree-SHAP dengan pedoman kebersihan tidur (Sleep Hygiene) sehingga mampu menghasilkan rekomendasi intervensi klinis personal yang mudah dipahami dan ditindaklanjuti secara nyata oleh tenaga medis maupun pasien?</w:t>
      </w:r>
    </w:p>
    <w:sectPr w:rsidR="00FC693F" w:rsidRPr="0006063C" w:rsidSect="00034616">
      <w:pgSz w:w="11906" w:h="16838"/>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