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Pr>
        <w:t>OUTLINE PROPOSAL SKRIPSI</w:t>
        <w:br/>
      </w:r>
      <w:r>
        <w:rPr>
          <w:rFonts w:ascii="Times New Roman" w:hAnsi="Times New Roman"/>
          <w:b/>
          <w:i w:val="0"/>
          <w:color w:val="000000"/>
          <w:sz w:val="22"/>
        </w:rPr>
        <w:t>PROGRAM STUDI TEKNIK INFORMATIKA - FAKULTAS SAINS DAN TEKNOLOGI</w:t>
        <w:br/>
        <w:t>UNIVERSITAS ISLAM NAHDLATUL ULAMA (UNISNU) JEPARA</w:t>
        <w:br/>
      </w:r>
    </w:p>
    <w:p>
      <w:pPr>
        <w:spacing w:after="240"/>
      </w:pPr>
      <w:r>
        <w:rPr>
          <w:rFonts w:ascii="Times New Roman" w:hAnsi="Times New Roman"/>
          <w:b/>
          <w:i w:val="0"/>
          <w:color w:val="000000"/>
          <w:sz w:val="22"/>
        </w:rPr>
        <w:t xml:space="preserve">Nama Mahasiswa : </w:t>
      </w:r>
      <w:r>
        <w:rPr>
          <w:rFonts w:ascii="Times New Roman" w:hAnsi="Times New Roman"/>
          <w:b w:val="0"/>
          <w:i w:val="0"/>
          <w:color w:val="000000"/>
          <w:sz w:val="22"/>
        </w:rPr>
        <w:t>Ahmad Novian Dzulfanni</w:t>
        <w:br/>
      </w:r>
      <w:r>
        <w:rPr>
          <w:rFonts w:ascii="Times New Roman" w:hAnsi="Times New Roman"/>
          <w:b/>
          <w:i w:val="0"/>
          <w:color w:val="000000"/>
          <w:sz w:val="22"/>
        </w:rPr>
        <w:t xml:space="preserve">NIM            : </w:t>
      </w:r>
      <w:r>
        <w:rPr>
          <w:rFonts w:ascii="Times New Roman" w:hAnsi="Times New Roman"/>
          <w:b w:val="0"/>
          <w:i w:val="0"/>
          <w:color w:val="000000"/>
          <w:sz w:val="22"/>
        </w:rPr>
        <w:t>231240001438</w:t>
        <w:br/>
      </w:r>
      <w:r>
        <w:rPr>
          <w:rFonts w:ascii="Times New Roman" w:hAnsi="Times New Roman"/>
          <w:b/>
          <w:i w:val="0"/>
          <w:color w:val="000000"/>
          <w:sz w:val="22"/>
        </w:rPr>
        <w:t xml:space="preserve">Program Studi  : </w:t>
      </w:r>
      <w:r>
        <w:rPr>
          <w:rFonts w:ascii="Times New Roman" w:hAnsi="Times New Roman"/>
          <w:b w:val="0"/>
          <w:i w:val="0"/>
          <w:color w:val="000000"/>
          <w:sz w:val="22"/>
        </w:rPr>
        <w:t>S1 Teknik Informatika</w:t>
        <w:br/>
      </w:r>
      <w:r>
        <w:rPr>
          <w:rFonts w:ascii="Times New Roman" w:hAnsi="Times New Roman"/>
          <w:b/>
          <w:i w:val="0"/>
          <w:color w:val="000000"/>
          <w:sz w:val="22"/>
        </w:rPr>
        <w:t xml:space="preserve">Bidang Minat   : </w:t>
      </w:r>
      <w:r>
        <w:rPr>
          <w:rFonts w:ascii="Times New Roman" w:hAnsi="Times New Roman"/>
          <w:b w:val="0"/>
          <w:i w:val="0"/>
          <w:color w:val="000000"/>
          <w:sz w:val="22"/>
        </w:rPr>
        <w:t>Sains Data, Pembelajaran Mesin (Machine Learning), dan Explainable AI (XAI)</w:t>
        <w:br/>
      </w:r>
    </w:p>
    <w:p>
      <w:r>
        <w:rPr>
          <w:rFonts w:ascii="Times New Roman" w:hAnsi="Times New Roman"/>
          <w:b/>
          <w:i w:val="0"/>
          <w:color w:val="000000"/>
          <w:sz w:val="22"/>
        </w:rPr>
        <w:t>TABEL OUTLINE FORMULIR PROPOSAL SKRIPSI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68"/>
        <w:gridCol w:w="6192"/>
      </w:tblGrid>
      <w:tr>
        <w:tc>
          <w:tcPr>
            <w:tcW w:type="dxa" w:w="4680"/>
            <w:tcMar>
              <w:top w:w="120" w:type="dxa"/>
              <w:bottom w:w="120" w:type="dxa"/>
              <w:left w:w="150" w:type="dxa"/>
              <w:right w:w="150" w:type="dxa"/>
            </w:tcMar>
            <w:shd w:fill="F2F2F2"/>
          </w:tcPr>
          <w:p>
            <w:r>
              <w:rPr>
                <w:rFonts w:ascii="Times New Roman" w:hAnsi="Times New Roman"/>
                <w:b/>
                <w:i w:val="0"/>
                <w:color w:val="000000"/>
                <w:sz w:val="20"/>
              </w:rPr>
              <w:t>JUDUL PENELITIAN</w:t>
            </w:r>
          </w:p>
        </w:tc>
        <w:tc>
          <w:tcPr>
            <w:tcW w:type="dxa" w:w="4680"/>
            <w:tcMar>
              <w:top w:w="120" w:type="dxa"/>
              <w:bottom w:w="120" w:type="dxa"/>
              <w:left w:w="150" w:type="dxa"/>
              <w:right w:w="150" w:type="dxa"/>
            </w:tcMar>
          </w:tcPr>
          <w:p>
            <w:r>
              <w:t>Penerapan Algoritma CatBoost dan SHAP untuk Klasifikasi Risiko Gangguan Tidur Berbasis Gaya Hidup</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RUMUSAN MASALAH</w:t>
            </w:r>
          </w:p>
        </w:tc>
        <w:tc>
          <w:tcPr>
            <w:tcW w:type="dxa" w:w="4680"/>
            <w:tcMar>
              <w:top w:w="120" w:type="dxa"/>
              <w:bottom w:w="120" w:type="dxa"/>
              <w:left w:w="150" w:type="dxa"/>
              <w:right w:w="150" w:type="dxa"/>
            </w:tcMar>
          </w:tcPr>
          <w:p>
            <w:r>
              <w:rPr>
                <w:rFonts w:ascii="Times New Roman" w:hAnsi="Times New Roman"/>
                <w:b w:val="0"/>
                <w:i w:val="0"/>
                <w:color w:val="000000"/>
                <w:sz w:val="20"/>
              </w:rPr>
              <w:t>Bagaimana penerapan Shapley Additive exPlanations (SHAP) sebagai metode Explainable AI (XAI) pada algoritma CatBoost dapat menghasilkan model klasifikasi risiko gangguan tidur yang akurat dan transparan, sekaligus mampu mengidentifikasi faktor-faktor gaya hidup digital yang paling berpengaruh secara personal dan mudah dipahami?</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LATAR BELAKANG</w:t>
            </w:r>
          </w:p>
        </w:tc>
        <w:tc>
          <w:tcPr>
            <w:tcW w:type="dxa" w:w="4680"/>
            <w:tcMar>
              <w:top w:w="120" w:type="dxa"/>
              <w:bottom w:w="120" w:type="dxa"/>
              <w:left w:w="150" w:type="dxa"/>
              <w:right w:w="150" w:type="dxa"/>
            </w:tcMar>
          </w:tcPr>
          <w:p>
            <w:pPr>
              <w:spacing w:after="120"/>
            </w:pPr>
            <w:r>
              <w:rPr>
                <w:rFonts w:ascii="Times New Roman" w:hAnsi="Times New Roman"/>
                <w:b/>
                <w:i w:val="0"/>
                <w:color w:val="000000"/>
                <w:sz w:val="20"/>
              </w:rPr>
              <w:t>Paragraf 1: Urgensi Masalah Gangguan Tidur &amp; Metrik Gaya Hidup Digital (121 kata)</w:t>
              <w:br/>
            </w:r>
            <w:r>
              <w:rPr>
                <w:rFonts w:ascii="Times New Roman" w:hAnsi="Times New Roman"/>
                <w:b w:val="0"/>
                <w:i w:val="0"/>
                <w:color w:val="000000"/>
                <w:sz w:val="20"/>
              </w:rPr>
              <w:t>Gangguan tidur saat ini telah berkembang menjadi masalah kesehatan masyarakat yang serius di era modern. Kondisi ini tidak hanya menurunkan kebugaran tubuh sehari-hari, tetapi juga berhubungan erat dengan peningkatan risiko berbagai penyakit kronis seperti gangguan kardiovaskular, diabetes, hingga depresi. Pada era serba digital, sebagian besar pemicu gangguan tidur berkaitan langsung dengan pola kebiasaan harian yang dapat diukur secara kuantitatif. Faktor-faktor tersebut meliputi durasi paparan layar gawai sebelum tidur, beban kerja, konsumsi kafein, hingga minimnya aktivitas fisik harian. Studi Lin et al. (2025) terhadap 20.645 responden membuktikan bahwa kebiasaan gaya hidup digital merupakan prediktor nyata yang dapat dipetakan secara akurat menggunakan machine learning. Temuan tersebut membuka peluang besar untuk mengembangkan sistem deteksi dini risiko gangguan tidur yang bersifat proaktif berbasis data perilaku.</w:t>
            </w:r>
          </w:p>
          <w:p>
            <w:pPr>
              <w:spacing w:after="120"/>
            </w:pPr>
            <w:r>
              <w:rPr>
                <w:rFonts w:ascii="Times New Roman" w:hAnsi="Times New Roman"/>
                <w:b/>
                <w:i w:val="0"/>
                <w:color w:val="000000"/>
                <w:sz w:val="20"/>
              </w:rPr>
              <w:t>Paragraf 2: Karakteristik Data Gaya Hidup &amp; Keunggulan CatBoost (121 kata)</w:t>
              <w:br/>
            </w:r>
            <w:r>
              <w:rPr>
                <w:rFonts w:ascii="Times New Roman" w:hAnsi="Times New Roman"/>
                <w:b w:val="0"/>
                <w:i w:val="0"/>
                <w:color w:val="000000"/>
                <w:sz w:val="20"/>
              </w:rPr>
              <w:t>Membangun sistem deteksi dini tersebut memerlukan algoritma pembelajaran mesin yang berakurasi tinggi sekaligus mampu mengolah data gaya hidup heterogen. Data gaya hidup memadukan variabel numerik seperti durasi tidur dan detak jantung dengan variabel kategorikal seperti jenis pekerjaan dan tingkat stres. Banyak algoritma konvensional seperti Random Forest atau XGBoost mengalami kendala saat memproses data kategorikal, karena membutuhkan proses encoding manual yang rentan memicu bias serta ledakan dimensi data. Algoritma CatBoost dirancang khusus untuk mengatasi masalah ini melalui mekanisme ordered target statistics yang memproses fitur kategorikal secara langsung tanpa encoding manual. Keunggulan gradient boosting terbukti pada studi Taher &amp; Ayon (2024) yang meraih akurasi 93,80% pada klasifikasi gangguan tidur. Oleh karena itu, CatBoost sangat tepat digunakan karena selaras dengan karakteristik data gaya hidup.</w:t>
            </w:r>
          </w:p>
          <w:p>
            <w:pPr>
              <w:spacing w:after="120"/>
            </w:pPr>
            <w:r>
              <w:rPr>
                <w:rFonts w:ascii="Times New Roman" w:hAnsi="Times New Roman"/>
                <w:b/>
                <w:i w:val="0"/>
                <w:color w:val="000000"/>
                <w:sz w:val="20"/>
              </w:rPr>
              <w:t>Paragraf 3: Tantangan Black-Box &amp; Urgensi Explainable AI (123 kata)</w:t>
              <w:br/>
            </w:r>
            <w:r>
              <w:rPr>
                <w:rFonts w:ascii="Times New Roman" w:hAnsi="Times New Roman"/>
                <w:b w:val="0"/>
                <w:i w:val="0"/>
                <w:color w:val="000000"/>
                <w:sz w:val="20"/>
              </w:rPr>
              <w:t>Kendati memiliki akurasi yang tinggi, algoritma berbasis ensemble seperti CatBoost memiliki kelemahan utama karena beroperasi sebagai model kotak hitam atau black-box. Keputusan prediksi dihasilkan dari ratusan pohon keputusan paralel yang rumit, sehingga pengguna tidak dapat memahami alasan di balik penetapan tingkat risiko seseorang secara logis. Dalam dunia medis, ketidakmampuan model menjelaskan proses keputusannya menjadi hambatan besar bagi adopsi teknologi kecerdasan buatan klinis. Dokter maupun pasien membutuhkan landasan rasional yang transparan dan dapat dipertanggungjawabkan sebelum mengambil keputusan medis atau intervensi perilaku harian. Penelitian Ha et al. (2023) menunjukkan bahwa metode Explainable AI mampu meningkatkan keterbukaan prediksi gangguan tidur, meskipun penerapannya masih terbatas pada penyaringan kuesioner awal. Oleh sebab itu, integrasi Explainable AI menjadi kebutuhan mutlak agar model klasifikasi tidak hanya akurat, tetapi juga transparan.</w:t>
            </w:r>
          </w:p>
          <w:p>
            <w:pPr>
              <w:spacing w:after="120"/>
            </w:pPr>
            <w:r>
              <w:rPr>
                <w:rFonts w:ascii="Times New Roman" w:hAnsi="Times New Roman"/>
                <w:b/>
                <w:i w:val="0"/>
                <w:color w:val="000000"/>
                <w:sz w:val="20"/>
              </w:rPr>
              <w:t>Paragraf 4: Metode SHAP untuk Penjelasan Adil &amp; Konsisten (123 kata)</w:t>
              <w:br/>
            </w:r>
            <w:r>
              <w:rPr>
                <w:rFonts w:ascii="Times New Roman" w:hAnsi="Times New Roman"/>
                <w:b w:val="0"/>
                <w:i w:val="0"/>
                <w:color w:val="000000"/>
                <w:sz w:val="20"/>
              </w:rPr>
              <w:t>Di antara berbagai pendekatan Explainable AI modern, metode Shapley Additive exPlanations atau SHAP dipandang paling unggul karena memiliki landasan teori permainan kooperatif yang kokoh. Berdasarkan prinsip matematis fundamental yang dirumuskan oleh Lundberg &amp; Lee (2017), metode SHAP mampu menjamin perhitungan kontribusi setiap variabel input secara adil, konsisten, dan aditif. Keunggulan utama metode SHAP adalah kemampuannya menyajikan penjelasan pada tingkat populasi global sekaligus tingkat individu lokal secara mendalam. Efektivitas SHAP dalam menganalisis faktor penentu kualitas tidur juga telah berhasil dibuktikan secara konkret oleh Xie et al. (2026). Melalui analisis SHAP, tenaga medis maupun pasien dapat mengetahui secara pasti variabel gaya hidup mana yang paling mendorong timbulnya risiko gangguan tidur pada setiap individu, seperti tingginya tingkat stres kerja atau durasi paparan layar gawai yang berlebih.</w:t>
            </w:r>
          </w:p>
          <w:p>
            <w:pPr>
              <w:spacing w:after="120"/>
            </w:pPr>
            <w:r>
              <w:rPr>
                <w:rFonts w:ascii="Times New Roman" w:hAnsi="Times New Roman"/>
                <w:b/>
                <w:i w:val="0"/>
                <w:color w:val="000000"/>
                <w:sz w:val="20"/>
              </w:rPr>
              <w:t>Paragraf 5: Identifikasi Riset Terdahulu &amp; 5 Celah Riset / GAP (126 kata)</w:t>
              <w:br/>
            </w:r>
            <w:r>
              <w:rPr>
                <w:rFonts w:ascii="Times New Roman" w:hAnsi="Times New Roman"/>
                <w:b w:val="0"/>
                <w:i w:val="0"/>
                <w:color w:val="000000"/>
                <w:sz w:val="20"/>
              </w:rPr>
              <w:t>Meskipun berbagai penelitian terdahulu menunjukkan hasil positif, terdapat lima celah riset utama yang belum terselesaikan secara simultan. Taher &amp; Ayon (2024) menghasilkan model berakurasi tinggi namun tanpa transparansi faktor risiko individual. Lin et al. (2025) hanya menganalisis faktor tidur pada tingkat populasi umum tanpa personalisasi per individu. Ha et al. (2023) menerapkan metode SHAP sebatas untuk seleksi fitur kuesioner statis menggunakan algoritma XGBoost. Xie et al. (2026) menggunakan teknik one-hot encoding yang memecah fitur kategorikal sehingga penjelasan SHAP terfragmentasi dan membingungkan secara klinis. Terakhir, Das et al. (2025) berhasil membuktikan keunggulan CatBoost-SHAP pada insomnia namun terbatas pada klasifikasi biner pasien kronis tanpa visualisasi lokal per individu. Belum ada penelitian yang menggabungkan keunggulan CatBoost dan SHAP untuk klasifikasi multi-kelas risiko gangguan tidur berbasis gaya hidup secara personal.</w:t>
            </w:r>
          </w:p>
          <w:p>
            <w:pPr>
              <w:spacing w:after="120"/>
            </w:pPr>
            <w:r>
              <w:rPr>
                <w:rFonts w:ascii="Times New Roman" w:hAnsi="Times New Roman"/>
                <w:b/>
                <w:i w:val="0"/>
                <w:color w:val="000000"/>
                <w:sz w:val="20"/>
              </w:rPr>
              <w:t>Paragraf 6: Solusi Usulan, CatBoost-SHAP &amp; Prototipe Web CDSS (123 kata)</w:t>
              <w:br/>
            </w:r>
            <w:r>
              <w:rPr>
                <w:rFonts w:ascii="Times New Roman" w:hAnsi="Times New Roman"/>
                <w:b w:val="0"/>
                <w:i w:val="0"/>
                <w:color w:val="000000"/>
                <w:sz w:val="20"/>
              </w:rPr>
              <w:t>Berdasarkan kelima celah riset tersebut, penelitian ini mengusulkan penerapan metode Explainable AI berbasis SHAP pada algoritma CatBoost untuk klasifikasi risiko gangguan tidur berbasis metrik gaya hidup digital. Algoritma CatBoost dipilih karena memiliki keunggulan dalam mengolah data kategorikal tanpa merusak struktur data aslinya, sehingga nilai kontribusi SHAP tetap utuh dan bermakna secara klinis. Pendekatan ini diharapkan mampu mengenali pola risiko tidur secara akurat sekaligus memetakan faktor pemicu dominan pada setiap individu secara tepat. Selain itu, model yang dikembangkan akan diintegrasikan secara langsung ke dalam purwarupa sistem pendukung keputusan klinis berbasis web yang interaktif. Sistem ini dirancang agar mudah digunakan oleh masyarakat umum untuk mengenali kebiasaan buruknya, sekaligus membantu tenaga medis dalam merancang rekomendasi perubahan gaya hidup yang terarah, efektif, dan berbasis bukti ilmiah terpercaya.</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TINJAUAN PUSTAKA (STATE OF THE ART)</w:t>
            </w:r>
          </w:p>
        </w:tc>
        <w:tc>
          <w:tcPr>
            <w:tcW w:type="dxa" w:w="4680"/>
            <w:tcMar>
              <w:top w:w="120" w:type="dxa"/>
              <w:bottom w:w="120" w:type="dxa"/>
              <w:left w:w="150" w:type="dxa"/>
              <w:right w:w="150" w:type="dxa"/>
            </w:tcMar>
          </w:tcPr>
          <w:p>
            <w:r>
              <w:t>Penelitian ini berpijak pada 6 kajian internasional bereputasi: (1) Taher &amp; Ayon (2024, IEEE) membuktikan keunggulan Gradient Boosting pada data tidur namun murni black-box; (2) Lin et al. (2025, Frontiers in Psychiatry Q1) menganalisis 20.645 mahasiswa namun hanya pada agregat populasi umum; (3) Ha et al. (2023, JMIR Q1) menerapkan XGBoost+SHAP namun kuesioner statis dan SHAP hanya untuk seleksi fitur awal; (4) Xie et al. (2026, Frontiers in Psychology Q1) meneliti tidur mahasiswa dengan XGBoost namun One-Hot Encoding memecah atribusi SHAP; (5) Das et al. (2025, Nature and Science of Sleep Q1) membuktikan CatBoost terbaik untuk insomnia (AUC 77,27%) namun terbatas biner komorbid; (6) Srinivasu et al. (2024, Scientific Reports Q1) memvalidasi CatBoost+SHAP (akurasi 99,3%) pada kanker statis. Celah riset ini dijembatani dengan menggabungkan CatBoost (native categorical) dan Tree-SHAP lokal/global pada 100.000 data gaya hidup digital multi-kelas 4 risiko, yang ditranslasikan menjadi Web CDSS interaktif berbasis Sleep Hygiene.</w:t>
            </w:r>
          </w:p>
        </w:tc>
      </w:tr>
      <w:tr>
        <w:tc>
          <w:tcPr>
            <w:tcW w:type="dxa" w:w="4680"/>
            <w:tcMar>
              <w:top w:w="120" w:type="dxa"/>
              <w:bottom w:w="120" w:type="dxa"/>
              <w:left w:w="150" w:type="dxa"/>
              <w:right w:w="150" w:type="dxa"/>
            </w:tcMar>
            <w:shd w:fill="F2F2F2"/>
          </w:tcPr>
          <w:p>
            <w:r>
              <w:rPr>
                <w:rFonts w:ascii="Times New Roman" w:hAnsi="Times New Roman"/>
                <w:b/>
                <w:i w:val="0"/>
                <w:color w:val="000000"/>
                <w:sz w:val="20"/>
              </w:rPr>
              <w:t>REFERENSI / DAFTAR PUSTAKA</w:t>
            </w:r>
          </w:p>
        </w:tc>
        <w:tc>
          <w:tcPr>
            <w:tcW w:type="dxa" w:w="4680"/>
            <w:tcMar>
              <w:top w:w="120" w:type="dxa"/>
              <w:bottom w:w="120" w:type="dxa"/>
              <w:left w:w="150" w:type="dxa"/>
              <w:right w:w="150" w:type="dxa"/>
            </w:tcMar>
          </w:tcPr>
          <w:p>
            <w:pPr>
              <w:spacing w:after="80"/>
            </w:pPr>
            <w:r>
              <w:rPr>
                <w:rFonts w:ascii="Times New Roman" w:hAnsi="Times New Roman"/>
                <w:b w:val="0"/>
                <w:i w:val="0"/>
                <w:color w:val="000000"/>
                <w:sz w:val="19"/>
              </w:rPr>
              <w:t>1. Xie, Y., Chen, Y., Han, Y., Zhai, S., Xiao, L., Yin, D., &amp; Chen, Y. (2026). Identifying influencing factors associated with sleep quality in undergraduates based on partial least squares regression and XGBoost. Frontiers in Psychology, 16, 1732946. https://doi.org/10.3389/fpsyg.2025.1732946</w:t>
            </w:r>
          </w:p>
          <w:p>
            <w:pPr>
              <w:spacing w:after="80"/>
            </w:pPr>
            <w:r>
              <w:rPr>
                <w:rFonts w:ascii="Times New Roman" w:hAnsi="Times New Roman"/>
                <w:b w:val="0"/>
                <w:i w:val="0"/>
                <w:color w:val="000000"/>
                <w:sz w:val="19"/>
              </w:rPr>
              <w:t>2. Das, P., Arif, M., Hasan, M. E., ALmerab, M. M., Al Habib, A. A., Al Mamun, F., Mamun, M. A., &amp; Gozal, D. (2025). Prevalence and Factors Associated with Insomnia Among Chronic Disease Patients in Bangladesh: A Machine Learning Study. Nature and Science of Sleep, 17, 2541–2567. https://doi.org/10.2147/NSS.S547335</w:t>
            </w:r>
          </w:p>
          <w:p>
            <w:pPr>
              <w:spacing w:after="80"/>
            </w:pPr>
            <w:r>
              <w:rPr>
                <w:rFonts w:ascii="Times New Roman" w:hAnsi="Times New Roman"/>
                <w:b w:val="0"/>
                <w:i w:val="0"/>
                <w:color w:val="000000"/>
                <w:sz w:val="19"/>
              </w:rPr>
              <w:t>3. Ha, S., Choi, S. J., Lee, S., Wijaya, R. H., Kim, J. H., Joo, E. Y., &amp; Kim, J. K. (2023). Predicting the Risk of Sleep Disorders Using a Machine Learning–Based Simple Questionnaire: Development and Validation Study. Journal of Medical Internet Research, 25, e46520. https://doi.org/10.2196/46520</w:t>
            </w:r>
          </w:p>
          <w:p>
            <w:pPr>
              <w:spacing w:after="80"/>
            </w:pPr>
            <w:r>
              <w:rPr>
                <w:rFonts w:ascii="Times New Roman" w:hAnsi="Times New Roman"/>
                <w:b w:val="0"/>
                <w:i w:val="0"/>
                <w:color w:val="000000"/>
                <w:sz w:val="19"/>
              </w:rPr>
              <w:t>4. Lin, Y., Chen, X., Wang, J., Zhang, H., Liu, M., &amp; Wu, L. (2025). Evaluation of sleep quality and influencing factors among medical and non-medical students using machine learning techniques. Frontiers in Psychiatry, 16, 1533875. https://doi.org/10.3389/fpsyt.2025.1533875</w:t>
            </w:r>
          </w:p>
          <w:p>
            <w:pPr>
              <w:spacing w:after="80"/>
            </w:pPr>
            <w:r>
              <w:rPr>
                <w:rFonts w:ascii="Times New Roman" w:hAnsi="Times New Roman"/>
                <w:b w:val="0"/>
                <w:i w:val="0"/>
                <w:color w:val="000000"/>
                <w:sz w:val="19"/>
              </w:rPr>
              <w:t>5. Lundberg, S. M., &amp; Lee, S. I. (2017). A Unified Approach to Interpreting Model Predictions. Advances in Neural Information Processing Systems (NeurIPS), 30.</w:t>
            </w:r>
          </w:p>
          <w:p>
            <w:pPr>
              <w:spacing w:after="80"/>
            </w:pPr>
            <w:r>
              <w:rPr>
                <w:rFonts w:ascii="Times New Roman" w:hAnsi="Times New Roman"/>
                <w:b w:val="0"/>
                <w:i w:val="0"/>
                <w:color w:val="000000"/>
                <w:sz w:val="19"/>
              </w:rPr>
              <w:t>6. Taher, A., &amp; Ayon, W. I. Z. (2024). Exploring Sleep Disorders: A Comparative Analysis of Machine Learning Algorithms on Sleep Health and Lifestyle Data. 2024 IEEE PEEIACON, 1–6. https://doi.org/10.1109/PEEIACON63629.2024.10800593</w:t>
            </w:r>
          </w:p>
        </w:tc>
      </w:tr>
    </w:tbl>
    <w:p>
      <w:r>
        <w:br w:type="page"/>
      </w:r>
    </w:p>
    <w:p>
      <w:r>
        <w:rPr>
          <w:rFonts w:ascii="Times New Roman" w:hAnsi="Times New Roman"/>
          <w:b/>
          <w:i w:val="0"/>
          <w:color w:val="000000"/>
          <w:sz w:val="24"/>
        </w:rPr>
        <w:t>TABEL RESEARCH GAP PENELITIAN TERDAHULU</w:t>
      </w:r>
    </w:p>
    <w:p>
      <w:r>
        <w:rPr>
          <w:rFonts w:ascii="Times New Roman" w:hAnsi="Times New Roman"/>
          <w:b w:val="0"/>
          <w:i/>
          <w:color w:val="000000"/>
          <w:sz w:val="20"/>
        </w:rPr>
        <w:t>Tabel ini memetakan secara komprehensif keterbatasan penelitian terdahulu dan solusi yang diajukan oleh penelitian ini (Ahmad, 2026):</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1040"/>
        <w:gridCol w:w="1040"/>
        <w:gridCol w:w="1040"/>
        <w:gridCol w:w="1040"/>
        <w:gridCol w:w="1040"/>
        <w:gridCol w:w="1040"/>
        <w:gridCol w:w="1040"/>
        <w:gridCol w:w="1040"/>
        <w:gridCol w:w="1040"/>
      </w:tblGrid>
      <w:tr>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No</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Peneliti (Tahun)</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Judul Artikel</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Dataset yang Digunakan</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Algoritma dan Metode</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Metrik</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Hasil</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Celah (Research Gap)</w:t>
            </w:r>
          </w:p>
        </w:tc>
        <w:tc>
          <w:tcPr>
            <w:tcW w:type="dxa" w:w="1040"/>
            <w:shd w:val="clear" w:color="auto" w:fill="F2F4F7"/>
            <w:vAlign w:val="top"/>
          </w:tcPr>
          <w:p>
            <w:pPr>
              <w:spacing w:before="40" w:after="40" w:line="252" w:lineRule="auto"/>
              <w:jc w:val="center"/>
            </w:pPr>
            <w:r/>
            <w:r>
              <w:rPr>
                <w:rFonts w:ascii="Times New Roman" w:hAnsi="Times New Roman"/>
                <w:b/>
                <w:i w:val="0"/>
                <w:color w:val="000000"/>
                <w:sz w:val="18"/>
              </w:rPr>
              <w:t>Masalah yang Diselesaikan oleh Skripsi Ini</w:t>
            </w:r>
          </w:p>
        </w:tc>
      </w:tr>
      <w:tr>
        <w:tc>
          <w:tcPr>
            <w:tcW w:type="dxa" w:w="1040"/>
            <w:vAlign w:val="top"/>
          </w:tcPr>
          <w:p>
            <w:pPr>
              <w:spacing w:before="40" w:after="40" w:line="252" w:lineRule="auto"/>
              <w:jc w:val="center"/>
            </w:pPr>
            <w:r/>
            <w:r>
              <w:rPr>
                <w:rFonts w:ascii="Times New Roman" w:hAnsi="Times New Roman"/>
                <w:b w:val="0"/>
                <w:i w:val="0"/>
                <w:color w:val="000000"/>
                <w:sz w:val="17"/>
              </w:rPr>
              <w:t>1</w:t>
            </w:r>
          </w:p>
        </w:tc>
        <w:tc>
          <w:tcPr>
            <w:tcW w:type="dxa" w:w="1040"/>
            <w:vAlign w:val="top"/>
          </w:tcPr>
          <w:p>
            <w:pPr>
              <w:spacing w:before="40" w:after="40" w:line="252" w:lineRule="auto"/>
              <w:jc w:val="left"/>
            </w:pPr>
            <w:r/>
            <w:r>
              <w:rPr>
                <w:rFonts w:ascii="Times New Roman" w:hAnsi="Times New Roman"/>
                <w:b/>
                <w:i w:val="0"/>
                <w:color w:val="000000"/>
                <w:sz w:val="17"/>
              </w:rPr>
              <w:t>Taher &amp; Ayon (2024)</w:t>
            </w:r>
          </w:p>
        </w:tc>
        <w:tc>
          <w:tcPr>
            <w:tcW w:type="dxa" w:w="1040"/>
            <w:vAlign w:val="top"/>
          </w:tcPr>
          <w:p>
            <w:pPr>
              <w:spacing w:before="40" w:after="40" w:line="252" w:lineRule="auto"/>
              <w:jc w:val="left"/>
            </w:pPr>
            <w:r/>
            <w:r>
              <w:rPr>
                <w:rFonts w:ascii="Times New Roman" w:hAnsi="Times New Roman"/>
                <w:b w:val="0"/>
                <w:i/>
                <w:color w:val="000000"/>
                <w:sz w:val="17"/>
              </w:rPr>
              <w:t>Exploring Sleep Disorders: A Comparative Analysis of Machine Learning Algorithms on Sleep Health and Lifestyle Data</w:t>
            </w:r>
          </w:p>
        </w:tc>
        <w:tc>
          <w:tcPr>
            <w:tcW w:type="dxa" w:w="1040"/>
            <w:vAlign w:val="top"/>
          </w:tcPr>
          <w:p>
            <w:pPr>
              <w:spacing w:before="40" w:after="40" w:line="252" w:lineRule="auto"/>
              <w:jc w:val="left"/>
            </w:pPr>
            <w:r/>
            <w:r>
              <w:rPr>
                <w:rFonts w:ascii="Times New Roman" w:hAnsi="Times New Roman"/>
                <w:b w:val="0"/>
                <w:i w:val="0"/>
                <w:color w:val="000000"/>
                <w:sz w:val="17"/>
              </w:rPr>
              <w:t>Sleep Health and Lifestyle Dataset (374 instans, 13 fitur demografi dan gaya hidup)</w:t>
            </w:r>
          </w:p>
        </w:tc>
        <w:tc>
          <w:tcPr>
            <w:tcW w:type="dxa" w:w="1040"/>
            <w:vAlign w:val="top"/>
          </w:tcPr>
          <w:p>
            <w:pPr>
              <w:spacing w:before="40" w:after="40" w:line="252" w:lineRule="auto"/>
              <w:jc w:val="left"/>
            </w:pPr>
            <w:r/>
            <w:r>
              <w:rPr>
                <w:rFonts w:ascii="Times New Roman" w:hAnsi="Times New Roman"/>
                <w:b w:val="0"/>
                <w:i w:val="0"/>
                <w:color w:val="000000"/>
                <w:sz w:val="17"/>
              </w:rPr>
              <w:t>Random Forest, AdaBoost, Logistic Regression, Gradient Boosting Machine (GBM)</w:t>
            </w:r>
          </w:p>
        </w:tc>
        <w:tc>
          <w:tcPr>
            <w:tcW w:type="dxa" w:w="1040"/>
            <w:vAlign w:val="top"/>
          </w:tcPr>
          <w:p>
            <w:pPr>
              <w:spacing w:before="40" w:after="40" w:line="252" w:lineRule="auto"/>
              <w:jc w:val="left"/>
            </w:pPr>
            <w:r/>
            <w:r>
              <w:rPr>
                <w:rFonts w:ascii="Times New Roman" w:hAnsi="Times New Roman"/>
                <w:b w:val="0"/>
                <w:i w:val="0"/>
                <w:color w:val="000000"/>
                <w:sz w:val="17"/>
              </w:rPr>
              <w:t>Akurasi, Precision, Recall, F1-Score</w:t>
            </w:r>
          </w:p>
        </w:tc>
        <w:tc>
          <w:tcPr>
            <w:tcW w:type="dxa" w:w="1040"/>
            <w:vAlign w:val="top"/>
          </w:tcPr>
          <w:p>
            <w:pPr>
              <w:spacing w:before="40" w:after="40" w:line="252" w:lineRule="auto"/>
              <w:jc w:val="left"/>
            </w:pPr>
            <w:r/>
            <w:r>
              <w:rPr>
                <w:rFonts w:ascii="Times New Roman" w:hAnsi="Times New Roman"/>
                <w:b w:val="0"/>
                <w:i w:val="0"/>
                <w:color w:val="000000"/>
                <w:sz w:val="17"/>
              </w:rPr>
              <w:t>Gradient Boosting mencapai performa tertinggi: Akurasi 93,80%, Precision 94,10%, Recall 93,80%, dan F1-Score 93,90%.</w:t>
            </w:r>
          </w:p>
        </w:tc>
        <w:tc>
          <w:tcPr>
            <w:tcW w:type="dxa" w:w="1040"/>
            <w:vAlign w:val="top"/>
          </w:tcPr>
          <w:p>
            <w:pPr>
              <w:spacing w:before="40" w:after="40" w:line="252" w:lineRule="auto"/>
              <w:jc w:val="left"/>
            </w:pPr>
            <w:r/>
            <w:r>
              <w:rPr>
                <w:rFonts w:ascii="Times New Roman" w:hAnsi="Times New Roman"/>
                <w:b w:val="0"/>
                <w:i w:val="0"/>
                <w:color w:val="000000"/>
                <w:sz w:val="17"/>
              </w:rPr>
              <w:t>Model murni beroperasi sebagai black-box tanpa penjelasan kontribusi fitur individual, serta variabel kategorikal diubah via label encoding manual yang memicu bias ordinal buatan.</w:t>
            </w:r>
          </w:p>
        </w:tc>
        <w:tc>
          <w:tcPr>
            <w:tcW w:type="dxa" w:w="1040"/>
            <w:vAlign w:val="top"/>
          </w:tcPr>
          <w:p>
            <w:pPr>
              <w:spacing w:before="40" w:after="40" w:line="252" w:lineRule="auto"/>
              <w:jc w:val="left"/>
            </w:pPr>
            <w:r/>
            <w:r>
              <w:rPr>
                <w:rFonts w:ascii="Times New Roman" w:hAnsi="Times New Roman"/>
                <w:b w:val="0"/>
                <w:i w:val="0"/>
                <w:color w:val="000000"/>
                <w:sz w:val="17"/>
              </w:rPr>
              <w:t>Menerapkan algoritma CatBoost yang memproses fitur kategorikal secara native dan mengintegrasikan Tree-SHAP untuk membedah transparansi penyebab risiko secara personal per individu.</w:t>
            </w:r>
          </w:p>
        </w:tc>
      </w:tr>
      <w:tr>
        <w:tc>
          <w:tcPr>
            <w:tcW w:type="dxa" w:w="1040"/>
            <w:vAlign w:val="top"/>
          </w:tcPr>
          <w:p>
            <w:pPr>
              <w:spacing w:before="40" w:after="40" w:line="252" w:lineRule="auto"/>
              <w:jc w:val="center"/>
            </w:pPr>
            <w:r/>
            <w:r>
              <w:rPr>
                <w:rFonts w:ascii="Times New Roman" w:hAnsi="Times New Roman"/>
                <w:b w:val="0"/>
                <w:i w:val="0"/>
                <w:color w:val="000000"/>
                <w:sz w:val="17"/>
              </w:rPr>
              <w:t>2</w:t>
            </w:r>
          </w:p>
        </w:tc>
        <w:tc>
          <w:tcPr>
            <w:tcW w:type="dxa" w:w="1040"/>
            <w:vAlign w:val="top"/>
          </w:tcPr>
          <w:p>
            <w:pPr>
              <w:spacing w:before="40" w:after="40" w:line="252" w:lineRule="auto"/>
              <w:jc w:val="left"/>
            </w:pPr>
            <w:r/>
            <w:r>
              <w:rPr>
                <w:rFonts w:ascii="Times New Roman" w:hAnsi="Times New Roman"/>
                <w:b/>
                <w:i w:val="0"/>
                <w:color w:val="000000"/>
                <w:sz w:val="17"/>
              </w:rPr>
              <w:t>Lin et al. (2025)</w:t>
            </w:r>
          </w:p>
        </w:tc>
        <w:tc>
          <w:tcPr>
            <w:tcW w:type="dxa" w:w="1040"/>
            <w:vAlign w:val="top"/>
          </w:tcPr>
          <w:p>
            <w:pPr>
              <w:spacing w:before="40" w:after="40" w:line="252" w:lineRule="auto"/>
              <w:jc w:val="left"/>
            </w:pPr>
            <w:r/>
            <w:r>
              <w:rPr>
                <w:rFonts w:ascii="Times New Roman" w:hAnsi="Times New Roman"/>
                <w:b w:val="0"/>
                <w:i/>
                <w:color w:val="000000"/>
                <w:sz w:val="17"/>
              </w:rPr>
              <w:t>Evaluation of Sleep Quality and Influencing Factors Among Medical and Non-Medical Students Using Machine Learning Techniques in Fujian During the Public Health Emergencies</w:t>
            </w:r>
          </w:p>
        </w:tc>
        <w:tc>
          <w:tcPr>
            <w:tcW w:type="dxa" w:w="1040"/>
            <w:vAlign w:val="top"/>
          </w:tcPr>
          <w:p>
            <w:pPr>
              <w:spacing w:before="40" w:after="40" w:line="252" w:lineRule="auto"/>
              <w:jc w:val="left"/>
            </w:pPr>
            <w:r/>
            <w:r>
              <w:rPr>
                <w:rFonts w:ascii="Times New Roman" w:hAnsi="Times New Roman"/>
                <w:b w:val="0"/>
                <w:i w:val="0"/>
                <w:color w:val="000000"/>
                <w:sz w:val="17"/>
              </w:rPr>
              <w:t>Data survei kuesioner PSQI 20.645 mahasiswa di Fujian, Tiongkok</w:t>
            </w:r>
          </w:p>
        </w:tc>
        <w:tc>
          <w:tcPr>
            <w:tcW w:type="dxa" w:w="1040"/>
            <w:vAlign w:val="top"/>
          </w:tcPr>
          <w:p>
            <w:pPr>
              <w:spacing w:before="40" w:after="40" w:line="252" w:lineRule="auto"/>
              <w:jc w:val="left"/>
            </w:pPr>
            <w:r/>
            <w:r>
              <w:rPr>
                <w:rFonts w:ascii="Times New Roman" w:hAnsi="Times New Roman"/>
                <w:b w:val="0"/>
                <w:i w:val="0"/>
                <w:color w:val="000000"/>
                <w:sz w:val="17"/>
              </w:rPr>
              <w:t>Artificial Neural Network (ANN), Decision Tree, Gradient Boosting Trees, Naive Bayes</w:t>
            </w:r>
          </w:p>
        </w:tc>
        <w:tc>
          <w:tcPr>
            <w:tcW w:type="dxa" w:w="1040"/>
            <w:vAlign w:val="top"/>
          </w:tcPr>
          <w:p>
            <w:pPr>
              <w:spacing w:before="40" w:after="40" w:line="252" w:lineRule="auto"/>
              <w:jc w:val="left"/>
            </w:pPr>
            <w:r/>
            <w:r>
              <w:rPr>
                <w:rFonts w:ascii="Times New Roman" w:hAnsi="Times New Roman"/>
                <w:b w:val="0"/>
                <w:i w:val="0"/>
                <w:color w:val="000000"/>
                <w:sz w:val="17"/>
              </w:rPr>
              <w:t>Akurasi, Sensitivity, Specificity, AUC-ROC</w:t>
            </w:r>
          </w:p>
        </w:tc>
        <w:tc>
          <w:tcPr>
            <w:tcW w:type="dxa" w:w="1040"/>
            <w:vAlign w:val="top"/>
          </w:tcPr>
          <w:p>
            <w:pPr>
              <w:spacing w:before="40" w:after="40" w:line="252" w:lineRule="auto"/>
              <w:jc w:val="left"/>
            </w:pPr>
            <w:r/>
            <w:r>
              <w:rPr>
                <w:rFonts w:ascii="Times New Roman" w:hAnsi="Times New Roman"/>
                <w:b w:val="0"/>
                <w:i w:val="0"/>
                <w:color w:val="000000"/>
                <w:sz w:val="17"/>
              </w:rPr>
              <w:t>Model ensemble memetakan faktor risiko mahasiswa dengan Akurasi 86,40% dan AUC-ROC 0,891.</w:t>
            </w:r>
          </w:p>
        </w:tc>
        <w:tc>
          <w:tcPr>
            <w:tcW w:type="dxa" w:w="1040"/>
            <w:vAlign w:val="top"/>
          </w:tcPr>
          <w:p>
            <w:pPr>
              <w:spacing w:before="40" w:after="40" w:line="252" w:lineRule="auto"/>
              <w:jc w:val="left"/>
            </w:pPr>
            <w:r/>
            <w:r>
              <w:rPr>
                <w:rFonts w:ascii="Times New Roman" w:hAnsi="Times New Roman"/>
                <w:b w:val="0"/>
                <w:i w:val="0"/>
                <w:color w:val="000000"/>
                <w:sz w:val="17"/>
              </w:rPr>
              <w:t>Analisis hanya berlaku di tingkat agregat populasi (makro); tidak mampu memberikan penjelasan personal di tingkat individu (local explanation) untuk interaksi non-linier kebiasaan digital.</w:t>
            </w:r>
          </w:p>
        </w:tc>
        <w:tc>
          <w:tcPr>
            <w:tcW w:type="dxa" w:w="1040"/>
            <w:vAlign w:val="top"/>
          </w:tcPr>
          <w:p>
            <w:pPr>
              <w:spacing w:before="40" w:after="40" w:line="252" w:lineRule="auto"/>
              <w:jc w:val="left"/>
            </w:pPr>
            <w:r/>
            <w:r>
              <w:rPr>
                <w:rFonts w:ascii="Times New Roman" w:hAnsi="Times New Roman"/>
                <w:b w:val="0"/>
                <w:i w:val="0"/>
                <w:color w:val="000000"/>
                <w:sz w:val="17"/>
              </w:rPr>
              <w:t>Menganalisis interaksi non-linier fitur gaya hidup secara granular per individu menggunakan CatBoost dan visualisasi Tree-SHAP individual, bukan sekadar agregasi populasi.</w:t>
            </w:r>
          </w:p>
        </w:tc>
      </w:tr>
      <w:tr>
        <w:tc>
          <w:tcPr>
            <w:tcW w:type="dxa" w:w="1040"/>
            <w:vAlign w:val="top"/>
          </w:tcPr>
          <w:p>
            <w:pPr>
              <w:spacing w:before="40" w:after="40" w:line="252" w:lineRule="auto"/>
              <w:jc w:val="center"/>
            </w:pPr>
            <w:r/>
            <w:r>
              <w:rPr>
                <w:rFonts w:ascii="Times New Roman" w:hAnsi="Times New Roman"/>
                <w:b w:val="0"/>
                <w:i w:val="0"/>
                <w:color w:val="000000"/>
                <w:sz w:val="17"/>
              </w:rPr>
              <w:t>3</w:t>
            </w:r>
          </w:p>
        </w:tc>
        <w:tc>
          <w:tcPr>
            <w:tcW w:type="dxa" w:w="1040"/>
            <w:vAlign w:val="top"/>
          </w:tcPr>
          <w:p>
            <w:pPr>
              <w:spacing w:before="40" w:after="40" w:line="252" w:lineRule="auto"/>
              <w:jc w:val="left"/>
            </w:pPr>
            <w:r/>
            <w:r>
              <w:rPr>
                <w:rFonts w:ascii="Times New Roman" w:hAnsi="Times New Roman"/>
                <w:b/>
                <w:i w:val="0"/>
                <w:color w:val="000000"/>
                <w:sz w:val="17"/>
              </w:rPr>
              <w:t>Ha et al. (2023)</w:t>
            </w:r>
          </w:p>
        </w:tc>
        <w:tc>
          <w:tcPr>
            <w:tcW w:type="dxa" w:w="1040"/>
            <w:vAlign w:val="top"/>
          </w:tcPr>
          <w:p>
            <w:pPr>
              <w:spacing w:before="40" w:after="40" w:line="252" w:lineRule="auto"/>
              <w:jc w:val="left"/>
            </w:pPr>
            <w:r/>
            <w:r>
              <w:rPr>
                <w:rFonts w:ascii="Times New Roman" w:hAnsi="Times New Roman"/>
                <w:b w:val="0"/>
                <w:i/>
                <w:color w:val="000000"/>
                <w:sz w:val="17"/>
              </w:rPr>
              <w:t>Predicting the Risk of Sleep Disorders Using a Machine Learning–Based Simple Questionnaire: Development and Validation Study</w:t>
            </w:r>
          </w:p>
        </w:tc>
        <w:tc>
          <w:tcPr>
            <w:tcW w:type="dxa" w:w="1040"/>
            <w:vAlign w:val="top"/>
          </w:tcPr>
          <w:p>
            <w:pPr>
              <w:spacing w:before="40" w:after="40" w:line="252" w:lineRule="auto"/>
              <w:jc w:val="left"/>
            </w:pPr>
            <w:r/>
            <w:r>
              <w:rPr>
                <w:rFonts w:ascii="Times New Roman" w:hAnsi="Times New Roman"/>
                <w:b w:val="0"/>
                <w:i w:val="0"/>
                <w:color w:val="000000"/>
                <w:sz w:val="17"/>
              </w:rPr>
              <w:t>Data klinis 4.622 pasien dari 2 rumah sakit (Samsung Medical Center &amp; Ewha Womans University Medical Center)</w:t>
            </w:r>
          </w:p>
        </w:tc>
        <w:tc>
          <w:tcPr>
            <w:tcW w:type="dxa" w:w="1040"/>
            <w:vAlign w:val="top"/>
          </w:tcPr>
          <w:p>
            <w:pPr>
              <w:spacing w:before="40" w:after="40" w:line="252" w:lineRule="auto"/>
              <w:jc w:val="left"/>
            </w:pPr>
            <w:r/>
            <w:r>
              <w:rPr>
                <w:rFonts w:ascii="Times New Roman" w:hAnsi="Times New Roman"/>
                <w:b w:val="0"/>
                <w:i w:val="0"/>
                <w:color w:val="000000"/>
                <w:sz w:val="17"/>
              </w:rPr>
              <w:t>Extreme Gradient Boosting (XGBoost) dengan seleksi fitur SHAP</w:t>
            </w:r>
          </w:p>
        </w:tc>
        <w:tc>
          <w:tcPr>
            <w:tcW w:type="dxa" w:w="1040"/>
            <w:vAlign w:val="top"/>
          </w:tcPr>
          <w:p>
            <w:pPr>
              <w:spacing w:before="40" w:after="40" w:line="252" w:lineRule="auto"/>
              <w:jc w:val="left"/>
            </w:pPr>
            <w:r/>
            <w:r>
              <w:rPr>
                <w:rFonts w:ascii="Times New Roman" w:hAnsi="Times New Roman"/>
                <w:b w:val="0"/>
                <w:i w:val="0"/>
                <w:color w:val="000000"/>
                <w:sz w:val="17"/>
              </w:rPr>
              <w:t>AUROC, Sensitivity, Specificity, Brier Score</w:t>
            </w:r>
          </w:p>
        </w:tc>
        <w:tc>
          <w:tcPr>
            <w:tcW w:type="dxa" w:w="1040"/>
            <w:vAlign w:val="top"/>
          </w:tcPr>
          <w:p>
            <w:pPr>
              <w:spacing w:before="40" w:after="40" w:line="252" w:lineRule="auto"/>
              <w:jc w:val="left"/>
            </w:pPr>
            <w:r/>
            <w:r>
              <w:rPr>
                <w:rFonts w:ascii="Times New Roman" w:hAnsi="Times New Roman"/>
                <w:b w:val="0"/>
                <w:i w:val="0"/>
                <w:color w:val="000000"/>
                <w:sz w:val="17"/>
              </w:rPr>
              <w:t>AUROC &gt; 0,897 untuk ketiga gangguan tidur (OSA, COMISA, insomnia); menghasilkan kuesioner ringkas SLEEPS 9 item.</w:t>
            </w:r>
          </w:p>
        </w:tc>
        <w:tc>
          <w:tcPr>
            <w:tcW w:type="dxa" w:w="1040"/>
            <w:vAlign w:val="top"/>
          </w:tcPr>
          <w:p>
            <w:pPr>
              <w:spacing w:before="40" w:after="40" w:line="252" w:lineRule="auto"/>
              <w:jc w:val="left"/>
            </w:pPr>
            <w:r/>
            <w:r>
              <w:rPr>
                <w:rFonts w:ascii="Times New Roman" w:hAnsi="Times New Roman"/>
                <w:b w:val="0"/>
                <w:i w:val="0"/>
                <w:color w:val="000000"/>
                <w:sz w:val="17"/>
              </w:rPr>
              <w:t>Memerlukan encoding manual pada XGBoost; dataset berbasis kuesioner klinis dan data antropometrik statis (bukan kebiasaan harian modifiable); SHAP hanya untuk seleksi fitur awal, bukan visualisasi real-time per pasien.</w:t>
            </w:r>
          </w:p>
        </w:tc>
        <w:tc>
          <w:tcPr>
            <w:tcW w:type="dxa" w:w="1040"/>
            <w:vAlign w:val="top"/>
          </w:tcPr>
          <w:p>
            <w:pPr>
              <w:spacing w:before="40" w:after="40" w:line="252" w:lineRule="auto"/>
              <w:jc w:val="left"/>
            </w:pPr>
            <w:r/>
            <w:r>
              <w:rPr>
                <w:rFonts w:ascii="Times New Roman" w:hAnsi="Times New Roman"/>
                <w:b w:val="0"/>
                <w:i w:val="0"/>
                <w:color w:val="000000"/>
                <w:sz w:val="17"/>
              </w:rPr>
              <w:t>Menggunakan parameter gaya hidup harian yang dapat diubah (modifiable digital lifestyle), memproses data kategorikal secara native dengan CatBoost, dan menyajikan penjelasan SHAP interaktif real-time per pasien dalam sistem CDSS.</w:t>
            </w:r>
          </w:p>
        </w:tc>
      </w:tr>
      <w:tr>
        <w:tc>
          <w:tcPr>
            <w:tcW w:type="dxa" w:w="1040"/>
            <w:vAlign w:val="top"/>
          </w:tcPr>
          <w:p>
            <w:pPr>
              <w:spacing w:before="40" w:after="40" w:line="252" w:lineRule="auto"/>
              <w:jc w:val="center"/>
            </w:pPr>
            <w:r/>
            <w:r>
              <w:rPr>
                <w:rFonts w:ascii="Times New Roman" w:hAnsi="Times New Roman"/>
                <w:b w:val="0"/>
                <w:i w:val="0"/>
                <w:color w:val="000000"/>
                <w:sz w:val="17"/>
              </w:rPr>
              <w:t>4</w:t>
            </w:r>
          </w:p>
        </w:tc>
        <w:tc>
          <w:tcPr>
            <w:tcW w:type="dxa" w:w="1040"/>
            <w:vAlign w:val="top"/>
          </w:tcPr>
          <w:p>
            <w:pPr>
              <w:spacing w:before="40" w:after="40" w:line="252" w:lineRule="auto"/>
              <w:jc w:val="left"/>
            </w:pPr>
            <w:r/>
            <w:r>
              <w:rPr>
                <w:rFonts w:ascii="Times New Roman" w:hAnsi="Times New Roman"/>
                <w:b/>
                <w:i w:val="0"/>
                <w:color w:val="000000"/>
                <w:sz w:val="17"/>
              </w:rPr>
              <w:t>Xie et al. (2026)</w:t>
            </w:r>
          </w:p>
        </w:tc>
        <w:tc>
          <w:tcPr>
            <w:tcW w:type="dxa" w:w="1040"/>
            <w:vAlign w:val="top"/>
          </w:tcPr>
          <w:p>
            <w:pPr>
              <w:spacing w:before="40" w:after="40" w:line="252" w:lineRule="auto"/>
              <w:jc w:val="left"/>
            </w:pPr>
            <w:r/>
            <w:r>
              <w:rPr>
                <w:rFonts w:ascii="Times New Roman" w:hAnsi="Times New Roman"/>
                <w:b w:val="0"/>
                <w:i/>
                <w:color w:val="000000"/>
                <w:sz w:val="17"/>
              </w:rPr>
              <w:t>Identifying Influencing Factors Associated with Sleep Quality in Undergraduates Based on Partial Least Squares Regression and XGBoost</w:t>
            </w:r>
          </w:p>
        </w:tc>
        <w:tc>
          <w:tcPr>
            <w:tcW w:type="dxa" w:w="1040"/>
            <w:vAlign w:val="top"/>
          </w:tcPr>
          <w:p>
            <w:pPr>
              <w:spacing w:before="40" w:after="40" w:line="252" w:lineRule="auto"/>
              <w:jc w:val="left"/>
            </w:pPr>
            <w:r/>
            <w:r>
              <w:rPr>
                <w:rFonts w:ascii="Times New Roman" w:hAnsi="Times New Roman"/>
                <w:b w:val="0"/>
                <w:i w:val="0"/>
                <w:color w:val="000000"/>
                <w:sz w:val="17"/>
              </w:rPr>
              <w:t>Data kuesioner gaya hidup 1.842 mahasiswa sarjana</w:t>
            </w:r>
          </w:p>
        </w:tc>
        <w:tc>
          <w:tcPr>
            <w:tcW w:type="dxa" w:w="1040"/>
            <w:vAlign w:val="top"/>
          </w:tcPr>
          <w:p>
            <w:pPr>
              <w:spacing w:before="40" w:after="40" w:line="252" w:lineRule="auto"/>
              <w:jc w:val="left"/>
            </w:pPr>
            <w:r/>
            <w:r>
              <w:rPr>
                <w:rFonts w:ascii="Times New Roman" w:hAnsi="Times New Roman"/>
                <w:b w:val="0"/>
                <w:i w:val="0"/>
                <w:color w:val="000000"/>
                <w:sz w:val="17"/>
              </w:rPr>
              <w:t>Partial Least Squares Regression (PLSR) dan XGBoost</w:t>
            </w:r>
          </w:p>
        </w:tc>
        <w:tc>
          <w:tcPr>
            <w:tcW w:type="dxa" w:w="1040"/>
            <w:vAlign w:val="top"/>
          </w:tcPr>
          <w:p>
            <w:pPr>
              <w:spacing w:before="40" w:after="40" w:line="252" w:lineRule="auto"/>
              <w:jc w:val="left"/>
            </w:pPr>
            <w:r/>
            <w:r>
              <w:rPr>
                <w:rFonts w:ascii="Times New Roman" w:hAnsi="Times New Roman"/>
                <w:b w:val="0"/>
                <w:i w:val="0"/>
                <w:color w:val="000000"/>
                <w:sz w:val="17"/>
              </w:rPr>
              <w:t>R², RMSE, MAE, Variable Importance in Projection (VIP)</w:t>
            </w:r>
          </w:p>
        </w:tc>
        <w:tc>
          <w:tcPr>
            <w:tcW w:type="dxa" w:w="1040"/>
            <w:vAlign w:val="top"/>
          </w:tcPr>
          <w:p>
            <w:pPr>
              <w:spacing w:before="40" w:after="40" w:line="252" w:lineRule="auto"/>
              <w:jc w:val="left"/>
            </w:pPr>
            <w:r/>
            <w:r>
              <w:rPr>
                <w:rFonts w:ascii="Times New Roman" w:hAnsi="Times New Roman"/>
                <w:b w:val="0"/>
                <w:i w:val="0"/>
                <w:color w:val="000000"/>
                <w:sz w:val="17"/>
              </w:rPr>
              <w:t>XGBoost mengidentifikasi screen time, tingkat stres, dan konsumsi kafein sebagai prediktor utama kualitas tidur (R² = 0,782, RMSE = 0,412).</w:t>
            </w:r>
          </w:p>
        </w:tc>
        <w:tc>
          <w:tcPr>
            <w:tcW w:type="dxa" w:w="1040"/>
            <w:vAlign w:val="top"/>
          </w:tcPr>
          <w:p>
            <w:pPr>
              <w:spacing w:before="40" w:after="40" w:line="252" w:lineRule="auto"/>
              <w:jc w:val="left"/>
            </w:pPr>
            <w:r/>
            <w:r>
              <w:rPr>
                <w:rFonts w:ascii="Times New Roman" w:hAnsi="Times New Roman"/>
                <w:b w:val="0"/>
                <w:i w:val="0"/>
                <w:color w:val="000000"/>
                <w:sz w:val="17"/>
              </w:rPr>
              <w:t>One-hot encoding pada data kategori memecah fitur menjadi variabel dummy, memicu fragmentasi interpretasi; rekomendasi hanya bersifat umum tanpa takaran target perubahan kebiasaan yang terukur.</w:t>
            </w:r>
          </w:p>
        </w:tc>
        <w:tc>
          <w:tcPr>
            <w:tcW w:type="dxa" w:w="1040"/>
            <w:vAlign w:val="top"/>
          </w:tcPr>
          <w:p>
            <w:pPr>
              <w:spacing w:before="40" w:after="40" w:line="252" w:lineRule="auto"/>
              <w:jc w:val="left"/>
            </w:pPr>
            <w:r/>
            <w:r>
              <w:rPr>
                <w:rFonts w:ascii="Times New Roman" w:hAnsi="Times New Roman"/>
                <w:b w:val="0"/>
                <w:i w:val="0"/>
                <w:color w:val="000000"/>
                <w:sz w:val="17"/>
              </w:rPr>
              <w:t>Menghindari fragmentasi variabel dengan penanganan native CatBoost dan memetakan nilai SHAP langsung menjadi target intervensi perilaku kuantitatif (personalized actionable targets) seperti batas menit main HP dan cut-off kafein.</w:t>
            </w:r>
          </w:p>
        </w:tc>
      </w:tr>
      <w:tr>
        <w:tc>
          <w:tcPr>
            <w:tcW w:type="dxa" w:w="1040"/>
            <w:vAlign w:val="top"/>
          </w:tcPr>
          <w:p>
            <w:pPr>
              <w:spacing w:before="40" w:after="40" w:line="252" w:lineRule="auto"/>
              <w:jc w:val="center"/>
            </w:pPr>
            <w:r/>
            <w:r>
              <w:rPr>
                <w:rFonts w:ascii="Times New Roman" w:hAnsi="Times New Roman"/>
                <w:b w:val="0"/>
                <w:i w:val="0"/>
                <w:color w:val="000000"/>
                <w:sz w:val="17"/>
              </w:rPr>
              <w:t>5</w:t>
            </w:r>
          </w:p>
        </w:tc>
        <w:tc>
          <w:tcPr>
            <w:tcW w:type="dxa" w:w="1040"/>
            <w:vAlign w:val="top"/>
          </w:tcPr>
          <w:p>
            <w:pPr>
              <w:spacing w:before="40" w:after="40" w:line="252" w:lineRule="auto"/>
              <w:jc w:val="left"/>
            </w:pPr>
            <w:r/>
            <w:r>
              <w:rPr>
                <w:rFonts w:ascii="Times New Roman" w:hAnsi="Times New Roman"/>
                <w:b/>
                <w:i w:val="0"/>
                <w:color w:val="000000"/>
                <w:sz w:val="17"/>
              </w:rPr>
              <w:t>Das et al. (2025)</w:t>
            </w:r>
          </w:p>
        </w:tc>
        <w:tc>
          <w:tcPr>
            <w:tcW w:type="dxa" w:w="1040"/>
            <w:vAlign w:val="top"/>
          </w:tcPr>
          <w:p>
            <w:pPr>
              <w:spacing w:before="40" w:after="40" w:line="252" w:lineRule="auto"/>
              <w:jc w:val="left"/>
            </w:pPr>
            <w:r/>
            <w:r>
              <w:rPr>
                <w:rFonts w:ascii="Times New Roman" w:hAnsi="Times New Roman"/>
                <w:b w:val="0"/>
                <w:i/>
                <w:color w:val="000000"/>
                <w:sz w:val="17"/>
              </w:rPr>
              <w:t>Prevalence and Factors Associated with Insomnia Among Chronic Disease Patients in Bangladesh: A Machine Learning Study</w:t>
            </w:r>
          </w:p>
        </w:tc>
        <w:tc>
          <w:tcPr>
            <w:tcW w:type="dxa" w:w="1040"/>
            <w:vAlign w:val="top"/>
          </w:tcPr>
          <w:p>
            <w:pPr>
              <w:spacing w:before="40" w:after="40" w:line="252" w:lineRule="auto"/>
              <w:jc w:val="left"/>
            </w:pPr>
            <w:r/>
            <w:r>
              <w:rPr>
                <w:rFonts w:ascii="Times New Roman" w:hAnsi="Times New Roman"/>
                <w:b w:val="0"/>
                <w:i w:val="0"/>
                <w:color w:val="000000"/>
                <w:sz w:val="17"/>
              </w:rPr>
              <w:t>Data survei klinis 1.222 pasien penyakit kronis di Bangladesh</w:t>
            </w:r>
          </w:p>
        </w:tc>
        <w:tc>
          <w:tcPr>
            <w:tcW w:type="dxa" w:w="1040"/>
            <w:vAlign w:val="top"/>
          </w:tcPr>
          <w:p>
            <w:pPr>
              <w:spacing w:before="40" w:after="40" w:line="252" w:lineRule="auto"/>
              <w:jc w:val="left"/>
            </w:pPr>
            <w:r/>
            <w:r>
              <w:rPr>
                <w:rFonts w:ascii="Times New Roman" w:hAnsi="Times New Roman"/>
                <w:b w:val="0"/>
                <w:i w:val="0"/>
                <w:color w:val="000000"/>
                <w:sz w:val="17"/>
              </w:rPr>
              <w:t>KNN, Random Forest, SVM, GBM, XGBoost, dan CatBoost</w:t>
            </w:r>
          </w:p>
        </w:tc>
        <w:tc>
          <w:tcPr>
            <w:tcW w:type="dxa" w:w="1040"/>
            <w:vAlign w:val="top"/>
          </w:tcPr>
          <w:p>
            <w:pPr>
              <w:spacing w:before="40" w:after="40" w:line="252" w:lineRule="auto"/>
              <w:jc w:val="left"/>
            </w:pPr>
            <w:r/>
            <w:r>
              <w:rPr>
                <w:rFonts w:ascii="Times New Roman" w:hAnsi="Times New Roman"/>
                <w:b w:val="0"/>
                <w:i w:val="0"/>
                <w:color w:val="000000"/>
                <w:sz w:val="17"/>
              </w:rPr>
              <w:t>Akurasi, Precision, Recall, F1-Score, AUC-ROC</w:t>
            </w:r>
          </w:p>
        </w:tc>
        <w:tc>
          <w:tcPr>
            <w:tcW w:type="dxa" w:w="1040"/>
            <w:vAlign w:val="top"/>
          </w:tcPr>
          <w:p>
            <w:pPr>
              <w:spacing w:before="40" w:after="40" w:line="252" w:lineRule="auto"/>
              <w:jc w:val="left"/>
            </w:pPr>
            <w:r/>
            <w:r>
              <w:rPr>
                <w:rFonts w:ascii="Times New Roman" w:hAnsi="Times New Roman"/>
                <w:b w:val="0"/>
                <w:i w:val="0"/>
                <w:color w:val="000000"/>
                <w:sz w:val="17"/>
              </w:rPr>
              <w:t>CatBoost meraih performa tertinggi di antara seluruh model: Akurasi 71,67%, F1-Score 71,23%, dan AUC-ROC 77,27%.</w:t>
            </w:r>
          </w:p>
        </w:tc>
        <w:tc>
          <w:tcPr>
            <w:tcW w:type="dxa" w:w="1040"/>
            <w:vAlign w:val="top"/>
          </w:tcPr>
          <w:p>
            <w:pPr>
              <w:spacing w:before="40" w:after="40" w:line="252" w:lineRule="auto"/>
              <w:jc w:val="left"/>
            </w:pPr>
            <w:r/>
            <w:r>
              <w:rPr>
                <w:rFonts w:ascii="Times New Roman" w:hAnsi="Times New Roman"/>
                <w:b w:val="0"/>
                <w:i w:val="0"/>
                <w:color w:val="000000"/>
                <w:sz w:val="17"/>
              </w:rPr>
              <w:t>Target klasifikasi terbatas biner sederhana (Insomnia vs Non-Insomnia); sampel terbatas pada pasien penyakit kronis; evaluasi SHAP hanya beeswarm global; tidak diimplementasikan ke dalam prototipe CDSS interaktif.</w:t>
            </w:r>
          </w:p>
        </w:tc>
        <w:tc>
          <w:tcPr>
            <w:tcW w:type="dxa" w:w="1040"/>
            <w:vAlign w:val="top"/>
          </w:tcPr>
          <w:p>
            <w:pPr>
              <w:spacing w:before="40" w:after="40" w:line="252" w:lineRule="auto"/>
              <w:jc w:val="left"/>
            </w:pPr>
            <w:r/>
            <w:r>
              <w:rPr>
                <w:rFonts w:ascii="Times New Roman" w:hAnsi="Times New Roman"/>
                <w:b w:val="0"/>
                <w:i w:val="0"/>
                <w:color w:val="000000"/>
                <w:sz w:val="17"/>
              </w:rPr>
              <w:t>Mengklasifikasikan 4 tingkatan keparahan risiko secara bertingkat (Healthy, Mild, Moderate, Severe), pada populasi umum gaya hidup digital 100.000 instans, dilengkapi penjelasan lokal individual dan purwarupa sistem CDSS interaktif dengan simulasi What-If.</w:t>
            </w:r>
          </w:p>
        </w:tc>
      </w:tr>
      <w:tr>
        <w:tc>
          <w:tcPr>
            <w:tcW w:type="dxa" w:w="1040"/>
            <w:vAlign w:val="top"/>
          </w:tcPr>
          <w:p>
            <w:pPr>
              <w:spacing w:before="40" w:after="40" w:line="252" w:lineRule="auto"/>
              <w:jc w:val="center"/>
            </w:pPr>
            <w:r/>
            <w:r>
              <w:rPr>
                <w:rFonts w:ascii="Times New Roman" w:hAnsi="Times New Roman"/>
                <w:b w:val="0"/>
                <w:i w:val="0"/>
                <w:color w:val="000000"/>
                <w:sz w:val="17"/>
              </w:rPr>
              <w:t>6</w:t>
            </w:r>
          </w:p>
        </w:tc>
        <w:tc>
          <w:tcPr>
            <w:tcW w:type="dxa" w:w="1040"/>
            <w:vAlign w:val="top"/>
          </w:tcPr>
          <w:p>
            <w:pPr>
              <w:spacing w:before="40" w:after="40" w:line="252" w:lineRule="auto"/>
              <w:jc w:val="left"/>
            </w:pPr>
            <w:r/>
            <w:r>
              <w:rPr>
                <w:rFonts w:ascii="Times New Roman" w:hAnsi="Times New Roman"/>
                <w:b/>
                <w:i w:val="0"/>
                <w:color w:val="000000"/>
                <w:sz w:val="17"/>
              </w:rPr>
              <w:t>Srinivasu et al. (2024)</w:t>
            </w:r>
          </w:p>
        </w:tc>
        <w:tc>
          <w:tcPr>
            <w:tcW w:type="dxa" w:w="1040"/>
            <w:vAlign w:val="top"/>
          </w:tcPr>
          <w:p>
            <w:pPr>
              <w:spacing w:before="40" w:after="40" w:line="252" w:lineRule="auto"/>
              <w:jc w:val="left"/>
            </w:pPr>
            <w:r/>
            <w:r>
              <w:rPr>
                <w:rFonts w:ascii="Times New Roman" w:hAnsi="Times New Roman"/>
                <w:b w:val="0"/>
                <w:i/>
                <w:color w:val="000000"/>
                <w:sz w:val="17"/>
              </w:rPr>
              <w:t>XAI-Driven CatBoost Multi-Layer Perceptron Neural Network for Analyzing Breast Cancer</w:t>
            </w:r>
          </w:p>
        </w:tc>
        <w:tc>
          <w:tcPr>
            <w:tcW w:type="dxa" w:w="1040"/>
            <w:vAlign w:val="top"/>
          </w:tcPr>
          <w:p>
            <w:pPr>
              <w:spacing w:before="40" w:after="40" w:line="252" w:lineRule="auto"/>
              <w:jc w:val="left"/>
            </w:pPr>
            <w:r/>
            <w:r>
              <w:rPr>
                <w:rFonts w:ascii="Times New Roman" w:hAnsi="Times New Roman"/>
                <w:b w:val="0"/>
                <w:i w:val="0"/>
                <w:color w:val="000000"/>
                <w:sz w:val="17"/>
              </w:rPr>
              <w:t>Breast Cancer Wisconsin Diagnostic Dataset (WDBC) (569 instans, 30 fitur laboratorium)</w:t>
            </w:r>
          </w:p>
        </w:tc>
        <w:tc>
          <w:tcPr>
            <w:tcW w:type="dxa" w:w="1040"/>
            <w:vAlign w:val="top"/>
          </w:tcPr>
          <w:p>
            <w:pPr>
              <w:spacing w:before="40" w:after="40" w:line="252" w:lineRule="auto"/>
              <w:jc w:val="left"/>
            </w:pPr>
            <w:r/>
            <w:r>
              <w:rPr>
                <w:rFonts w:ascii="Times New Roman" w:hAnsi="Times New Roman"/>
                <w:b w:val="0"/>
                <w:i w:val="0"/>
                <w:color w:val="000000"/>
                <w:sz w:val="17"/>
              </w:rPr>
              <w:t>Hybrid CatBoost + Multi-Layer Perceptron (MLP) dengan seleksi fitur ANOVA dan Tree-SHAP</w:t>
            </w:r>
          </w:p>
        </w:tc>
        <w:tc>
          <w:tcPr>
            <w:tcW w:type="dxa" w:w="1040"/>
            <w:vAlign w:val="top"/>
          </w:tcPr>
          <w:p>
            <w:pPr>
              <w:spacing w:before="40" w:after="40" w:line="252" w:lineRule="auto"/>
              <w:jc w:val="left"/>
            </w:pPr>
            <w:r/>
            <w:r>
              <w:rPr>
                <w:rFonts w:ascii="Times New Roman" w:hAnsi="Times New Roman"/>
                <w:b w:val="0"/>
                <w:i w:val="0"/>
                <w:color w:val="000000"/>
                <w:sz w:val="17"/>
              </w:rPr>
              <w:t>Akurasi, Precision, Recall, F1-Score, Specificity</w:t>
            </w:r>
          </w:p>
        </w:tc>
        <w:tc>
          <w:tcPr>
            <w:tcW w:type="dxa" w:w="1040"/>
            <w:vAlign w:val="top"/>
          </w:tcPr>
          <w:p>
            <w:pPr>
              <w:spacing w:before="40" w:after="40" w:line="252" w:lineRule="auto"/>
              <w:jc w:val="left"/>
            </w:pPr>
            <w:r/>
            <w:r>
              <w:rPr>
                <w:rFonts w:ascii="Times New Roman" w:hAnsi="Times New Roman"/>
                <w:b w:val="0"/>
                <w:i w:val="0"/>
                <w:color w:val="000000"/>
                <w:sz w:val="17"/>
              </w:rPr>
              <w:t>Mencapai Akurasi 99,30%, Precision 99,20%, Recall 99,40%, F1-Score 99,30%.</w:t>
            </w:r>
          </w:p>
        </w:tc>
        <w:tc>
          <w:tcPr>
            <w:tcW w:type="dxa" w:w="1040"/>
            <w:vAlign w:val="top"/>
          </w:tcPr>
          <w:p>
            <w:pPr>
              <w:spacing w:before="40" w:after="40" w:line="252" w:lineRule="auto"/>
              <w:jc w:val="left"/>
            </w:pPr>
            <w:r/>
            <w:r>
              <w:rPr>
                <w:rFonts w:ascii="Times New Roman" w:hAnsi="Times New Roman"/>
                <w:b w:val="0"/>
                <w:i w:val="0"/>
                <w:color w:val="000000"/>
                <w:sz w:val="17"/>
              </w:rPr>
              <w:t>Diterapkan pada data laboratorium patologis onkologi dengan parameter fisik yang tidak dapat diubah (non-modifiable biological attributes); belum mengintegrasikan modul simulasi perubahan perilaku pasien.</w:t>
            </w:r>
          </w:p>
        </w:tc>
        <w:tc>
          <w:tcPr>
            <w:tcW w:type="dxa" w:w="1040"/>
            <w:vAlign w:val="top"/>
          </w:tcPr>
          <w:p>
            <w:pPr>
              <w:spacing w:before="40" w:after="40" w:line="252" w:lineRule="auto"/>
              <w:jc w:val="left"/>
            </w:pPr>
            <w:r/>
            <w:r>
              <w:rPr>
                <w:rFonts w:ascii="Times New Roman" w:hAnsi="Times New Roman"/>
                <w:b w:val="0"/>
                <w:i w:val="0"/>
                <w:color w:val="000000"/>
                <w:sz w:val="17"/>
              </w:rPr>
              <w:t>Mengadaptasi metodologi CatBoost dan SHAP ke ranah metrik perilaku gaya hidup digital yang modifiable, memungkinkan pengguna menguji perubahan kebiasaan secara simulatif pada antarmuka CDSS.</w:t>
            </w:r>
          </w:p>
        </w:tc>
      </w:tr>
    </w:tbl>
    <w:p>
      <w:pPr>
        <w:spacing w:after="240"/>
      </w:pPr>
    </w:p>
    <w:p>
      <w:r>
        <w:rPr>
          <w:rFonts w:ascii="Times New Roman" w:hAnsi="Times New Roman"/>
          <w:b/>
          <w:i w:val="0"/>
          <w:color w:val="000000"/>
          <w:sz w:val="24"/>
        </w:rPr>
        <w:t>TABEL MATRIKS PEMETAAN NOVELTY (ORISINALITAS RISET)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337"/>
        <w:gridCol w:w="1337"/>
        <w:gridCol w:w="1337"/>
        <w:gridCol w:w="1337"/>
        <w:gridCol w:w="1337"/>
        <w:gridCol w:w="1337"/>
        <w:gridCol w:w="1337"/>
      </w:tblGrid>
      <w:tr>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Kriteria / Parameter</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Taher &amp; Ayon (2024)</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Lin et al. (2025)</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Ha et al. (2023)</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Xie et al. (2026)</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Das et al. (2025)</w:t>
            </w:r>
          </w:p>
        </w:tc>
        <w:tc>
          <w:tcPr>
            <w:tcW w:type="dxa" w:w="1337"/>
            <w:tcMar>
              <w:top w:w="120" w:type="dxa"/>
              <w:bottom w:w="120" w:type="dxa"/>
              <w:left w:w="100" w:type="dxa"/>
              <w:right w:w="100" w:type="dxa"/>
            </w:tcMar>
            <w:shd w:fill="2B4C7E"/>
          </w:tcPr>
          <w:p>
            <w:pPr>
              <w:jc w:val="center"/>
            </w:pPr>
            <w:r>
              <w:rPr>
                <w:rFonts w:ascii="Times New Roman" w:hAnsi="Times New Roman"/>
                <w:b/>
                <w:i w:val="0"/>
                <w:color w:val="FFFFFF"/>
                <w:sz w:val="17"/>
              </w:rPr>
              <w:t>Penelitian Ini (Ahmad, 2026)</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Domain Kasus: Gangguan Tidur</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 (100% Homogen)</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Algoritma Utama: CatBoost (Native)</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(XGBoost)</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(XGBoost)</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Target: Multi-Kelas 4 Level Risiko</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(Biner)</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(Skor PSQI)</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(Biner)</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(Regresi)</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(Biner)</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 (4 Tingkat)</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Skala Data: 100.000 Rekaman Data</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(374)</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(20.645)</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(4.622)</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(Kuesioner)</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 (1.222)</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 (100.000 Data)</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Karakter Fitur: Gaya Hidup (Modifiable)</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(Klinis)</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Ya</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(Pasien Kronis)</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Metodologi XAI: Implementasi SHAP</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(Seleksi Fitur)</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(Terfragmentasi OHE)</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(Summary Global)</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w:t>
            </w:r>
          </w:p>
        </w:tc>
      </w:tr>
      <w:tr>
        <w:tc>
          <w:tcPr>
            <w:tcW w:type="dxa" w:w="1337"/>
            <w:tcMar>
              <w:top w:w="90" w:type="dxa"/>
              <w:bottom w:w="90" w:type="dxa"/>
              <w:left w:w="90" w:type="dxa"/>
              <w:right w:w="90" w:type="dxa"/>
            </w:tcMar>
            <w:shd w:fill="F5F8FA"/>
          </w:tcPr>
          <w:p>
            <w:r>
              <w:rPr>
                <w:rFonts w:ascii="Times New Roman" w:hAnsi="Times New Roman"/>
                <w:b/>
                <w:i w:val="0"/>
                <w:color w:val="000000"/>
                <w:sz w:val="17"/>
              </w:rPr>
              <w:t>Penjelasan Lokal per Pasien (Waterfall)</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5F8FA"/>
          </w:tcPr>
          <w:p>
            <w:pPr>
              <w:jc w:val="center"/>
            </w:pPr>
            <w:r>
              <w:rPr>
                <w:rFonts w:ascii="Times New Roman" w:hAnsi="Times New Roman"/>
                <w:b w:val="0"/>
                <w:i w:val="0"/>
                <w:color w:val="000000"/>
                <w:sz w:val="17"/>
              </w:rPr>
              <w:t>Tidak (Hanya Global)</w:t>
            </w:r>
          </w:p>
        </w:tc>
        <w:tc>
          <w:tcPr>
            <w:tcW w:type="dxa" w:w="1337"/>
            <w:tcMar>
              <w:top w:w="90" w:type="dxa"/>
              <w:bottom w:w="90" w:type="dxa"/>
              <w:left w:w="90" w:type="dxa"/>
              <w:right w:w="90" w:type="dxa"/>
            </w:tcMar>
            <w:shd w:fill="F5F8FA"/>
          </w:tcPr>
          <w:p>
            <w:pPr>
              <w:jc w:val="center"/>
            </w:pPr>
            <w:r>
              <w:rPr>
                <w:rFonts w:ascii="Times New Roman" w:hAnsi="Times New Roman"/>
                <w:b/>
                <w:i w:val="0"/>
                <w:color w:val="0066CC"/>
                <w:sz w:val="17"/>
              </w:rPr>
              <w:t>YA (Real-Time)</w:t>
            </w:r>
          </w:p>
        </w:tc>
      </w:tr>
      <w:tr>
        <w:tc>
          <w:tcPr>
            <w:tcW w:type="dxa" w:w="1337"/>
            <w:tcMar>
              <w:top w:w="90" w:type="dxa"/>
              <w:bottom w:w="90" w:type="dxa"/>
              <w:left w:w="90" w:type="dxa"/>
              <w:right w:w="90" w:type="dxa"/>
            </w:tcMar>
            <w:shd w:fill="FFFFFF"/>
          </w:tcPr>
          <w:p>
            <w:r>
              <w:rPr>
                <w:rFonts w:ascii="Times New Roman" w:hAnsi="Times New Roman"/>
                <w:b/>
                <w:i w:val="0"/>
                <w:color w:val="000000"/>
                <w:sz w:val="17"/>
              </w:rPr>
              <w:t>Prototipe Web Interaktif (CDSS)</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Ya (Web Statis)</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val="0"/>
                <w:i w:val="0"/>
                <w:color w:val="000000"/>
                <w:sz w:val="17"/>
              </w:rPr>
              <w:t>Tidak</w:t>
            </w:r>
          </w:p>
        </w:tc>
        <w:tc>
          <w:tcPr>
            <w:tcW w:type="dxa" w:w="1337"/>
            <w:tcMar>
              <w:top w:w="90" w:type="dxa"/>
              <w:bottom w:w="90" w:type="dxa"/>
              <w:left w:w="90" w:type="dxa"/>
              <w:right w:w="90" w:type="dxa"/>
            </w:tcMar>
            <w:shd w:fill="FFFFFF"/>
          </w:tcPr>
          <w:p>
            <w:pPr>
              <w:jc w:val="center"/>
            </w:pPr>
            <w:r>
              <w:rPr>
                <w:rFonts w:ascii="Times New Roman" w:hAnsi="Times New Roman"/>
                <w:b/>
                <w:i w:val="0"/>
                <w:color w:val="0066CC"/>
                <w:sz w:val="17"/>
              </w:rPr>
              <w:t>YA (INTERAKTIF)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