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i w:val="0"/>
          <w:color w:val="000000"/>
          <w:sz w:val="28"/>
        </w:rPr>
        <w:t>BAB II</w:t>
        <w:br/>
        <w:t>LANDASAN TEORI DAN TINJAUAN PUSTAKA</w:t>
      </w:r>
    </w:p>
    <w:p>
      <w:pPr>
        <w:spacing w:before="240" w:after="120" w:line="276" w:lineRule="auto"/>
        <w:jc w:val="left"/>
      </w:pPr>
      <w:r>
        <w:rPr>
          <w:rFonts w:ascii="Times New Roman" w:hAnsi="Times New Roman"/>
          <w:b/>
          <w:i w:val="0"/>
          <w:color w:val="000000"/>
          <w:sz w:val="24"/>
        </w:rPr>
        <w:t>2.1. Kajian Teori</w:t>
      </w:r>
    </w:p>
    <w:p>
      <w:pPr>
        <w:spacing w:after="120" w:line="360" w:lineRule="auto"/>
        <w:ind w:firstLine="709"/>
        <w:jc w:val="both"/>
      </w:pPr>
      <w:r>
        <w:rPr>
          <w:rFonts w:ascii="Times New Roman" w:hAnsi="Times New Roman"/>
          <w:b w:val="0"/>
          <w:i w:val="0"/>
          <w:color w:val="000000"/>
          <w:sz w:val="24"/>
        </w:rPr>
        <w:t>Kajian teori memaparkan fondasi keilmuan, konsep fundamental, serta formulasi matematis yang melandasi perancangan sistem deteksi risiko gangguan tidur berbasis algoritma CatBoost dan metode Explainable Artificial Intelligence (XAI) Shapley Additive exPlanations (SHAP). Pembahasan teori mencakup karakteristik klinis gangguan tidur, pengaruh metrik gaya hidup digital, penanganan data tidak seimbang (class imbalance), arsitektur algoritma pembelajaran mesin berbasis gradient boosting, teori keadilan kontribusi fitur SHAP, hingga perancangan purwarupa sistem pendukung keputusan klinis (Clinical Decision Support System).</w:t>
      </w:r>
    </w:p>
    <w:p>
      <w:pPr>
        <w:spacing w:before="160" w:after="80" w:line="276" w:lineRule="auto"/>
        <w:jc w:val="left"/>
      </w:pPr>
      <w:r>
        <w:rPr>
          <w:rFonts w:ascii="Times New Roman" w:hAnsi="Times New Roman"/>
          <w:b/>
          <w:i/>
          <w:color w:val="000000"/>
          <w:sz w:val="24"/>
        </w:rPr>
        <w:t>2.1.1. Karakteristik Klinis Gangguan Tidur dan Kualitas Tidur</w:t>
      </w:r>
    </w:p>
    <w:p>
      <w:pPr>
        <w:spacing w:after="120" w:line="360" w:lineRule="auto"/>
        <w:ind w:firstLine="709"/>
        <w:jc w:val="both"/>
      </w:pPr>
      <w:r>
        <w:rPr>
          <w:rFonts w:ascii="Times New Roman" w:hAnsi="Times New Roman"/>
          <w:b w:val="0"/>
          <w:i w:val="0"/>
          <w:color w:val="000000"/>
          <w:sz w:val="24"/>
        </w:rPr>
        <w:t>Tidur merupakan proses fisiologis esensial yang bersifat aktif dan berulang secara periodik untuk memulihkan fungsi homeostasis biologis, mengonsolidasikan memori kognitif, serta menjaga stabilitas sistem imun tubuh (Medic et al., 2017). Gangguan tidur (sleep disorders) didefinisikan sebagai deviasi atau kelainan pola tidur yang mengakibatkan penurunan kualitas, kuantitas, serta efisiensi tidur, yang berdampak langsung pada terganggunya fungsi fisiologis dan psikososial individu di siang hari. Berdasarkan International Classification of Sleep Disorders (ICSD-3), manifestasi gangguan tidur mencakup spektrum luas, mulai dari insomnia primer, gangguan pernapasan terkait tidur seperti Obstructive Sleep Apnea (OSA), gangguan ritme sirkadian, hingga hipersomnia (Ha et al., 2023).</w:t>
      </w:r>
    </w:p>
    <w:p>
      <w:pPr>
        <w:spacing w:after="120" w:line="360" w:lineRule="auto"/>
        <w:ind w:firstLine="709"/>
        <w:jc w:val="both"/>
      </w:pPr>
      <w:r>
        <w:rPr>
          <w:rFonts w:ascii="Times New Roman" w:hAnsi="Times New Roman"/>
          <w:b w:val="0"/>
          <w:i w:val="0"/>
          <w:color w:val="000000"/>
          <w:sz w:val="24"/>
        </w:rPr>
        <w:t>Kualitas tidur diukur melalui keterpaduan parameter kuantitatif dan kualitatif, yang mencakup durasi total tidur (total sleep time), latensi awitan tidur (sleep onset latency), frekuensi terbangun di malam hari (wake after sleep onset), serta efisiensi tidur (sleep efficiency). Penurunan efisiensi tidur secara kronis berhubungan erat dengan peningkatan sitokin pro-inflamasi, resistensi insulin, peningkatan beban kardiovaskular, serta percepatan penurunan fungsi kognitif (Das et al., 2025). Selain durasi tidur statis, bukti klinis terkini menunjukkan bahwa variabilitas dan keteraturan jadwal tidur (sleep regularity) memegang peranan krusial sebagai prediktor risiko morbiditas dan mortalitas yang bahkan lebih kuat daripada durasi tidur itu sendiri (Windred et al., 2024).</w:t>
      </w:r>
    </w:p>
    <w:p>
      <w:pPr>
        <w:spacing w:after="120" w:line="360" w:lineRule="auto"/>
        <w:ind w:firstLine="709"/>
        <w:jc w:val="both"/>
      </w:pPr>
      <w:r>
        <w:rPr>
          <w:rFonts w:ascii="Times New Roman" w:hAnsi="Times New Roman"/>
          <w:b w:val="0"/>
          <w:i w:val="0"/>
          <w:color w:val="000000"/>
          <w:sz w:val="24"/>
        </w:rPr>
        <w:t>Dalam konteks stratifikasi risiko klinis preventif, tingkat keparahan gangguan tidur dikelompokkan ke dalam empat tingkatan fungsional: Healthy (kondisi optimal tanpa indikasi patologis signifikan), Mild (gejala ringan yang dipicu oleh fluktuasi kebiasaan harian), Moderate (gangguan menengah yang mulai menurunkan produktivitas kognitif dan konsentrasi), serta Severe (gangguan berat dengan manifestasi klinis patologis yang memerlukan intervensi medis komprehensif). Klasifikasi berjenjang ini esensial untuk memfasilitasi tindakan triase dan skrining proaktif sebelum pasien berkembang menuju kondisi kronis.</w:t>
      </w:r>
    </w:p>
    <w:p>
      <w:pPr>
        <w:spacing w:before="160" w:after="80" w:line="276" w:lineRule="auto"/>
        <w:jc w:val="left"/>
      </w:pPr>
      <w:r>
        <w:rPr>
          <w:rFonts w:ascii="Times New Roman" w:hAnsi="Times New Roman"/>
          <w:b/>
          <w:i/>
          <w:color w:val="000000"/>
          <w:sz w:val="24"/>
        </w:rPr>
        <w:t>2.1.2. Metrik Gaya Hidup Digital dan Pengaruhnya terhadap Ritme Sirkadian</w:t>
      </w:r>
    </w:p>
    <w:p>
      <w:pPr>
        <w:spacing w:after="120" w:line="360" w:lineRule="auto"/>
        <w:ind w:firstLine="709"/>
        <w:jc w:val="both"/>
      </w:pPr>
      <w:r>
        <w:rPr>
          <w:rFonts w:ascii="Times New Roman" w:hAnsi="Times New Roman"/>
          <w:b w:val="0"/>
          <w:i w:val="0"/>
          <w:color w:val="000000"/>
          <w:sz w:val="24"/>
        </w:rPr>
        <w:t>Pergeseran pola interaksi masyarakat modern menuju era digital secara signifikan mengubah kebiasaan harian dan memunculkan fenomena stres psikologis baru yang berdampak negatif terhadap pola tidur. Jam biologis manusia diatur oleh ritme sirkadian yang berpusat pada suprachiasmatic nucleus (SCN) di hipotalamus, yang sangat peka terhadap paparan cahaya eksternal dan rutinitas harian. Paparan emisi cahaya biru (blue light) bergelombang pendek (450–480 nm) dari layar gawai (smartphone, laptop, tablet) menjelang waktu tidur menekan sekresi hormon melatonin oleh kelenjar pineal, sehingga menunda awitan tidur alami dan memperpendek fase tidur lelap (deep sleep) (Kumar et al., 2025).</w:t>
      </w:r>
    </w:p>
    <w:p>
      <w:pPr>
        <w:spacing w:after="120" w:line="360" w:lineRule="auto"/>
        <w:ind w:firstLine="709"/>
        <w:jc w:val="both"/>
      </w:pPr>
      <w:r>
        <w:rPr>
          <w:rFonts w:ascii="Times New Roman" w:hAnsi="Times New Roman"/>
          <w:b w:val="0"/>
          <w:i w:val="0"/>
          <w:color w:val="000000"/>
          <w:sz w:val="24"/>
        </w:rPr>
        <w:t>Selain intervensi fotik fisiologis, aktivitas digital memicu fenomena ketergantungan psikologis yang dikenal sebagai nomophobia (no mobile phone phobia) dan technostress, yaitu kondisi tekanan mental akibat tuntutan konektivitas terus-menerus dan kebiasaan memeriksa gawai secara berulang di tempat tidur (Widayati, 2024; Jahrami, 2023). Kondisi ini meningkatkan aktivitas sistem saraf simpatik melalui sekresi hormon kortisol dan adrenalin, yang mengakibatkan kondisi hiperarousal (physiological hyperarousal) saat hendak beristirahat. Fenomena ini diperparah pada individu dengan tipe kronotipe malam (night owl) yang cenderung menunda jam tidur akibat aktivitas komputasi atau hiburan digital hingga larut malam.</w:t>
      </w:r>
    </w:p>
    <w:p>
      <w:pPr>
        <w:spacing w:after="120" w:line="360" w:lineRule="auto"/>
        <w:ind w:firstLine="709"/>
        <w:jc w:val="both"/>
      </w:pPr>
      <w:r>
        <w:rPr>
          <w:rFonts w:ascii="Times New Roman" w:hAnsi="Times New Roman"/>
          <w:b w:val="0"/>
          <w:i w:val="0"/>
          <w:color w:val="000000"/>
          <w:sz w:val="24"/>
        </w:rPr>
        <w:t>Kombinasi antara paparan layar gawai yang intensif, beban kerja tinggi, asupan kafein berlebih, serta rendahnya tingkat aktivitas fisik harian (sedentary behavior) membentuk lingkaran umpan balik negatif terhadap kesehatan tidur (Henrich et al., 2021). Dampak kumulatif dari degradasi tidur akibat gaya hidup ini menimbulkan beban kerugian ekonomi yang nyata melalui penurunan produktivitas tenaga kerja, peningkatan absensi, dan risiko kesalahan fatal pada lingkungan profesional (Uzubuaku, 2023). Oleh karena itu, kuantifikasi metrik gaya hidup digital melalui variabel-variabel terukur menjadi instrumen penting untuk memodelkan risiko gangguan tidur secara presisi (Lin et al., 2025).</w:t>
      </w:r>
    </w:p>
    <w:p>
      <w:pPr>
        <w:spacing w:before="160" w:after="80" w:line="276" w:lineRule="auto"/>
        <w:jc w:val="left"/>
      </w:pPr>
      <w:r>
        <w:rPr>
          <w:rFonts w:ascii="Times New Roman" w:hAnsi="Times New Roman"/>
          <w:b/>
          <w:i/>
          <w:color w:val="000000"/>
          <w:sz w:val="24"/>
        </w:rPr>
        <w:t>2.1.3. Pembelajaran Mesin Terawasi dan Penanganan Ketidakseimbangan Data (Class Imbalance)</w:t>
      </w:r>
    </w:p>
    <w:p>
      <w:pPr>
        <w:spacing w:after="120" w:line="360" w:lineRule="auto"/>
        <w:ind w:firstLine="709"/>
        <w:jc w:val="both"/>
      </w:pPr>
      <w:r>
        <w:rPr>
          <w:rFonts w:ascii="Times New Roman" w:hAnsi="Times New Roman"/>
          <w:b w:val="0"/>
          <w:i w:val="0"/>
          <w:color w:val="000000"/>
          <w:sz w:val="24"/>
        </w:rPr>
        <w:t>Pembelajaran mesin terawasi (supervised machine learning) merupakan paradigma komputasi di mana algoritma mempelajari fungsi pemetaan matematis dari ruang matriks fitur masukan X ke ruang label target luaran Y berdasarkan himpunan data latih berlabel. Pada domain medis, salah satu tantangan paling fundamental dalam pembelajaran terawasi adalah ketidakseimbangan sebaran kelas (class imbalance), di mana proporsi sampel populasi sehat (Healthy) mendominasi secara masif, sedangkan sampel pasien berisiko tinggi (Severe) hanya mencakup sebagian kecil dari total populasi (Taher &amp; Ayon, 2024).</w:t>
      </w:r>
    </w:p>
    <w:p>
      <w:pPr>
        <w:spacing w:after="120" w:line="360" w:lineRule="auto"/>
        <w:ind w:firstLine="709"/>
        <w:jc w:val="both"/>
      </w:pPr>
      <w:r>
        <w:rPr>
          <w:rFonts w:ascii="Times New Roman" w:hAnsi="Times New Roman"/>
          <w:b w:val="0"/>
          <w:i w:val="0"/>
          <w:color w:val="000000"/>
          <w:sz w:val="24"/>
        </w:rPr>
        <w:t>Algoritma pembelajaran mesin standar yang meminimalkan fungsi kerugian global tanpa penyesuaian akan mengalami fenomena Accuracy Paradox. Model akan cenderung memprediksi seluruh sampel ke dalam kelas mayoritas guna meraih angka akurasi komputasi yang tinggi, namun gagal mengenali pasien kelas minoritas yang justru memiliki risiko kritis secara klinis (false negative tinggi). Pendekatan konvensional untuk menangani masalah ini sering kali mengandalkan teknik manipulasi data (resampling), seperti random undersampling yang membuang informasi berharga dari kelas mayoritas, atau Synthetic Minority Over-sampling Technique (SMOTE) yang menghasilkan sampel sintetis di antara titik-titik data minoritas (Chicco &amp; Jurman, 2020).</w:t>
      </w:r>
    </w:p>
    <w:p>
      <w:pPr>
        <w:spacing w:after="120" w:line="360" w:lineRule="auto"/>
        <w:ind w:firstLine="709"/>
        <w:jc w:val="both"/>
      </w:pPr>
      <w:r>
        <w:rPr>
          <w:rFonts w:ascii="Times New Roman" w:hAnsi="Times New Roman"/>
          <w:b w:val="0"/>
          <w:i w:val="0"/>
          <w:color w:val="000000"/>
          <w:sz w:val="24"/>
        </w:rPr>
        <w:t>Akan tetapi, pada dataset tabular heterogen yang memadukan variabel numerik dan kategorikal, teknik SMOTE rentan menciptakan titik data sintetis yang tidak realistis secara klinis, merusak korelasi antar-variabel, serta meningkatkan risiko overfitting. Sebagai alternatif yang lebih kokoh dan mempertahankan struktur data asli, pendekatan Cost-Sensitive Learning diterapkan secara internal pada fungsi objektif optimasi model (El Chakik et al., 2026). Mekanisme ini menetapkan matriks biaya penalti kesalahan yang berbanding terbalik dengan frekuensi kemunculan kelas dalam data latih: wc = N / (K · Nc). Melalui penalti asimetris ini, setiap kekeliruan klasifikasi pada sampel kelas minoritas Severe diberikan bobot penalti hukuman belasan kali lipat lebih berat, sehingga memaksa algoritma memperluas batas keputusan untuk mengenali karakteristik pasien berisiko tinggi tanpa memanipulasi data riil (Chicco &amp; Jurman, 2022).</w:t>
      </w:r>
    </w:p>
    <w:p>
      <w:pPr>
        <w:spacing w:before="160" w:after="80" w:line="276" w:lineRule="auto"/>
        <w:jc w:val="left"/>
      </w:pPr>
      <w:r>
        <w:rPr>
          <w:rFonts w:ascii="Times New Roman" w:hAnsi="Times New Roman"/>
          <w:b/>
          <w:i/>
          <w:color w:val="000000"/>
          <w:sz w:val="24"/>
        </w:rPr>
        <w:t>2.1.4. Arsitektur Algoritma CatBoost (Categorical Boosting)</w:t>
      </w:r>
    </w:p>
    <w:p>
      <w:pPr>
        <w:spacing w:after="120" w:line="360" w:lineRule="auto"/>
        <w:ind w:firstLine="709"/>
        <w:jc w:val="both"/>
      </w:pPr>
      <w:r>
        <w:rPr>
          <w:rFonts w:ascii="Times New Roman" w:hAnsi="Times New Roman"/>
          <w:b w:val="0"/>
          <w:i w:val="0"/>
          <w:color w:val="000000"/>
          <w:sz w:val="24"/>
        </w:rPr>
        <w:t>CatBoost (Categorical Boosting) merupakan algoritma pembelajaran mesin mutakhir berbasis Gradient Boosted Decision Trees (GBDT) yang dikembangkan khusus untuk mengatasi keterbatasan algoritma boosting konvensional saat memproses data tabular berskala besar dan kaya fitur kategorikal (Prokhorenkova et al., 2018). Tidak seperti algoritma XGBoost atau LightGBM yang menggunakan pohon keputusan asimetris dengan pertumbuhan berbasis kedalaman (depth-wise) atau daun (leaf-wise), CatBoost memanfaatkan struktur pohon simetris (symmetric oblivious trees).</w:t>
      </w:r>
    </w:p>
    <w:p>
      <w:pPr>
        <w:spacing w:after="120" w:line="360" w:lineRule="auto"/>
        <w:ind w:firstLine="709"/>
        <w:jc w:val="both"/>
      </w:pPr>
      <w:r>
        <w:rPr>
          <w:rFonts w:ascii="Times New Roman" w:hAnsi="Times New Roman"/>
          <w:b w:val="0"/>
          <w:i w:val="0"/>
          <w:color w:val="000000"/>
          <w:sz w:val="24"/>
        </w:rPr>
        <w:t>Pada oblivious decision tree, kriteria pemisahan (split criterion) yang sama diterapkan secara seragam pada seluruh simpul di tingkat kedalaman pohon yang identik. Struktur simetris ini berfungsi sebagai regularisasi alami yang mencegah pertumbuhan pohon yang terlampau dalam pada cabang tertentu, mempercepat evaluasi bitwise pada prosesor, serta menjamin stabilitas prediksi (Hancock &amp; Khoshgoftaar, 2020; Li et al., 2025). Selain itu, inovasi Ordered Boosting pada CatBoost mengatasi bias kebocoran data (data leakage) dengan mensimulasikan proses pembelajaran sekuensial melalui permutasi acak observasi data (Wang et al., 2025; Srinivasu et al., 2024).</w:t>
      </w:r>
    </w:p>
    <w:p>
      <w:pPr>
        <w:spacing w:after="120" w:line="360" w:lineRule="auto"/>
        <w:ind w:firstLine="709"/>
        <w:jc w:val="both"/>
      </w:pPr>
      <w:r>
        <w:rPr>
          <w:rFonts w:ascii="Times New Roman" w:hAnsi="Times New Roman"/>
          <w:b w:val="0"/>
          <w:i w:val="0"/>
          <w:color w:val="000000"/>
          <w:sz w:val="24"/>
        </w:rPr>
        <w:t>Keunggulan paling krusial dari CatBoost terletak pada mekanisme penanganan data kategorikal alami melalui Ordered Target Statistics (OTS). Pada data tabular medis, metode konvensional seperti One-Hot Encoding memecah variabel kategorikal menjadi puluhan variabel biner yang memicu lonjakan dimensi (curse of dimensionality) dan merusak penjelasan fitur (Chen et al., 2024). CatBoost mentransformasikan kategori menjadi nilai numerik kontinu secara dinamis berdasarkan nilai target historis ditambah pembobot prioritas global tanpa menimbulkan kebocoran informasi target masa depan (Alqudah et al., 2026).</w:t>
      </w:r>
    </w:p>
    <w:p>
      <w:pPr>
        <w:spacing w:before="160" w:after="80" w:line="276" w:lineRule="auto"/>
        <w:jc w:val="left"/>
      </w:pPr>
      <w:r>
        <w:rPr>
          <w:rFonts w:ascii="Times New Roman" w:hAnsi="Times New Roman"/>
          <w:b/>
          <w:i/>
          <w:color w:val="000000"/>
          <w:sz w:val="24"/>
        </w:rPr>
        <w:t>2.1.5. Konsep Explainable Artificial Intelligence (XAI) dan Teori Permainan Kooperatif SHAP</w:t>
      </w:r>
    </w:p>
    <w:p>
      <w:pPr>
        <w:spacing w:after="120" w:line="360" w:lineRule="auto"/>
        <w:ind w:firstLine="709"/>
        <w:jc w:val="both"/>
      </w:pPr>
      <w:r>
        <w:rPr>
          <w:rFonts w:ascii="Times New Roman" w:hAnsi="Times New Roman"/>
          <w:b w:val="0"/>
          <w:i w:val="0"/>
          <w:color w:val="000000"/>
          <w:sz w:val="24"/>
        </w:rPr>
        <w:t>Penerapan sistem kecerdasan buatan dalam bidang medis menghadapi hambatan besar terkait sifat model kotak hitam (black-box model). Kendati algoritma pembelajaran mesin seperti CatBoost mampu mencapai akurasi klasifikasi yang tinggi, proses inferensi yang dihasilkan dari interaksi non-linier ratusan pohon keputusan tidak dapat dipahami secara intuitif oleh tenaga medis maupun pasien (Amann et al., 2020; Loh et al., 2024). Ketiadaan transparansi ini berisiko memicu penolakan adopsi teknologi oleh praktisi kesehatan.</w:t>
      </w:r>
    </w:p>
    <w:p>
      <w:pPr>
        <w:spacing w:after="120" w:line="360" w:lineRule="auto"/>
        <w:ind w:firstLine="709"/>
        <w:jc w:val="both"/>
      </w:pPr>
      <w:r>
        <w:rPr>
          <w:rFonts w:ascii="Times New Roman" w:hAnsi="Times New Roman"/>
          <w:b w:val="0"/>
          <w:i w:val="0"/>
          <w:color w:val="000000"/>
          <w:sz w:val="24"/>
        </w:rPr>
        <w:t>Guna menjembatani kesenjangan tersebut, bidang Explainable Artificial Intelligence (XAI) menghadirkan metodologi untuk membuka proses penalaran internal model prediktif ke dalam representasi yang dapat diinterpretasikan oleh manusia. Pendekatan Shapley Additive exPlanations (SHAP) yang diperkenalkan oleh Lundberg &amp; Lee (2017) berakar pada landasan teori permainan kooperatif (cooperative game theory) yang dirumuskan oleh Lloyd Shapley (1953). Prediksi model diposisikan sebagai hasil permainan (payout), sedangkan fitur masukan bertindak sebagai pemain (players) yang berkoalisi untuk menghasilkan keputusan tersebut.</w:t>
      </w:r>
    </w:p>
    <w:p>
      <w:pPr>
        <w:spacing w:after="120" w:line="360" w:lineRule="auto"/>
        <w:ind w:firstLine="709"/>
        <w:jc w:val="both"/>
      </w:pPr>
      <w:r>
        <w:rPr>
          <w:rFonts w:ascii="Times New Roman" w:hAnsi="Times New Roman"/>
          <w:b w:val="0"/>
          <w:i w:val="0"/>
          <w:color w:val="000000"/>
          <w:sz w:val="24"/>
        </w:rPr>
        <w:t>Metode SHAP secara matematis menjamin empat aksioma keadilan fundamental: Efisiensi (jumlah nilai atribusi fitur ditambah baseline value persis sama dengan probabilitas keluaran model), Simetri (dua fitur dengan kontribusi marginal sama menerima atribusi identik), Pemain Nol (fitur non-kontributif menerima nilai nol), dan Monotonisitas. Modul TreeExplainer mengoptimalkan penghitungan nilai Shapley pada ansambel pohon menjadi kompleksitas waktu polinomial O(TLD^2), sehingga memungkinkan ekstraksi penjelasan global (summary beeswarm plot) dan lokal (waterfall plot) secara instan (Lundberg et al., 2020; Zhang et al., 2024; Huang et al., 2024).</w:t>
      </w:r>
    </w:p>
    <w:p>
      <w:pPr>
        <w:spacing w:before="160" w:after="80" w:line="276" w:lineRule="auto"/>
        <w:jc w:val="left"/>
      </w:pPr>
      <w:r>
        <w:rPr>
          <w:rFonts w:ascii="Times New Roman" w:hAnsi="Times New Roman"/>
          <w:b/>
          <w:i/>
          <w:color w:val="000000"/>
          <w:sz w:val="24"/>
        </w:rPr>
        <w:t>2.1.6. Sistem Pendukung Keputusan Klinis (Clinical Decision Support System / CDSS)</w:t>
      </w:r>
    </w:p>
    <w:p>
      <w:pPr>
        <w:spacing w:after="120" w:line="360" w:lineRule="auto"/>
        <w:ind w:firstLine="709"/>
        <w:jc w:val="both"/>
      </w:pPr>
      <w:r>
        <w:rPr>
          <w:rFonts w:ascii="Times New Roman" w:hAnsi="Times New Roman"/>
          <w:b w:val="0"/>
          <w:i w:val="0"/>
          <w:color w:val="000000"/>
          <w:sz w:val="24"/>
        </w:rPr>
        <w:t>Sistem Pendukung Keputusan Klinis (Clinical Decision Support System / CDSS) merupakan aplikasi perangkat lunak berbasis teknologi informasi kesehatan yang dirancang untuk membantu tenaga medis maupun pasien dalam pengambilan keputusan klinis preventif maupun terapeutik (Naga Srinivasu et al., 2022). Evolusi CDSS modern bertransisi dari sistem pakar berbasis aturan statis (rule-based) menuju sistem cerdas adaptif yang didorong oleh algoritma pembelajaran mesin dan kapabilitas interpretabilitas XAI (Wahyudi et al., 2026).</w:t>
      </w:r>
    </w:p>
    <w:p>
      <w:pPr>
        <w:spacing w:after="120" w:line="360" w:lineRule="auto"/>
        <w:ind w:firstLine="709"/>
        <w:jc w:val="both"/>
      </w:pPr>
      <w:r>
        <w:rPr>
          <w:rFonts w:ascii="Times New Roman" w:hAnsi="Times New Roman"/>
          <w:b w:val="0"/>
          <w:i w:val="0"/>
          <w:color w:val="000000"/>
          <w:sz w:val="24"/>
        </w:rPr>
        <w:t>Integrasi model prediktif CatBoost dan modul penjelasan SHAP ke dalam antarmuka purwarupa CDSS berbasis web interaktif menghadirkan skrining risiko non-invasif yang cepat, transparansi diagnostik per pasien, serta transformasi fitur risiko dominan menjadi rekomendasi perbaikan pola hidup (sleep hygiene interventions) yang dipersonalisasi dan berbasis bukti ilmiah (Chen et al., 2024; Rahman et al., 2025; Kaya, 2025; Putra &amp; Hidayat, 2024).</w:t>
      </w:r>
    </w:p>
    <w:p>
      <w:pPr>
        <w:spacing w:before="240" w:after="120" w:line="276" w:lineRule="auto"/>
        <w:jc w:val="left"/>
      </w:pPr>
      <w:r>
        <w:rPr>
          <w:rFonts w:ascii="Times New Roman" w:hAnsi="Times New Roman"/>
          <w:b/>
          <w:i w:val="0"/>
          <w:color w:val="000000"/>
          <w:sz w:val="24"/>
        </w:rPr>
        <w:t>2.2. Kajian Hasil Penelitian yang Relevan (State of the Art)</w:t>
      </w:r>
    </w:p>
    <w:p>
      <w:pPr>
        <w:spacing w:after="120" w:line="360" w:lineRule="auto"/>
        <w:ind w:firstLine="709"/>
        <w:jc w:val="both"/>
      </w:pPr>
      <w:r>
        <w:rPr>
          <w:rFonts w:ascii="Times New Roman" w:hAnsi="Times New Roman"/>
          <w:b w:val="0"/>
          <w:i w:val="0"/>
          <w:color w:val="000000"/>
          <w:sz w:val="24"/>
        </w:rPr>
        <w:t>Kajian hasil penelitian yang relevan menyajikan sintesis kritis terhadap studi-studi terdahulu yang berfokus pada klasifikasi gangguan tidur, penerapan algoritma gradient boosting, serta implementasi Explainable AI. Telaah ini bertujuan memetakan posisi keilmuan, mengidentifikasi keterbatasan yang ada, serta menegaskan kontribusi kebaruan (novelty) penelitian yang diusulkan.</w:t>
      </w:r>
    </w:p>
    <w:p>
      <w:pPr>
        <w:spacing w:before="160" w:after="80" w:line="276" w:lineRule="auto"/>
        <w:jc w:val="left"/>
      </w:pPr>
      <w:r>
        <w:rPr>
          <w:rFonts w:ascii="Times New Roman" w:hAnsi="Times New Roman"/>
          <w:b/>
          <w:i/>
          <w:color w:val="000000"/>
          <w:sz w:val="24"/>
        </w:rPr>
        <w:t>2.2.1. Sintesis Naratif Penelitian Terdahulu</w:t>
      </w:r>
    </w:p>
    <w:p>
      <w:pPr>
        <w:spacing w:after="120" w:line="360" w:lineRule="auto"/>
        <w:ind w:firstLine="709"/>
        <w:jc w:val="both"/>
      </w:pPr>
      <w:r>
        <w:rPr>
          <w:rFonts w:ascii="Times New Roman" w:hAnsi="Times New Roman"/>
          <w:b w:val="0"/>
          <w:i w:val="0"/>
          <w:color w:val="000000"/>
          <w:sz w:val="24"/>
        </w:rPr>
        <w:t>Penelitian terdahulu mengenai klasifikasi gangguan tidur berbasis data kesehatan dan gaya hidup dilakukan oleh Taher &amp; Ayon (2024) yang meraih akurasi 93,80% menggunakan Gradient Boosting. Namun, model bekerja murni sebagai kotak hitam tanpa transparansi faktor risiko individual. Lin et al. (2025) mengevaluasi 20.645 mahasiswa dan menemukan korelasi kuat antara gawai, kopi, dan penurunan tidur, tetapi analisisnya terbatas pada agregat populasi umum. Ha et al. (2023) menerapkan XGBoost dan SHAP pada 4.622 data kuesioner medis klinis dengan AUROC &gt;0,897, namun memerlukan encoding manual dan SHAP hanya untuk seleksi fitur awal.</w:t>
      </w:r>
    </w:p>
    <w:p>
      <w:pPr>
        <w:spacing w:after="120" w:line="360" w:lineRule="auto"/>
        <w:ind w:firstLine="709"/>
        <w:jc w:val="both"/>
      </w:pPr>
      <w:r>
        <w:rPr>
          <w:rFonts w:ascii="Times New Roman" w:hAnsi="Times New Roman"/>
          <w:b w:val="0"/>
          <w:i w:val="0"/>
          <w:color w:val="000000"/>
          <w:sz w:val="24"/>
        </w:rPr>
        <w:t>Kelemahan encoding ditegaskan oleh Chen et al. (2024) di mana penerapan One-Hot Encoding pada XGBoost memecah fitur kategorikal nominal sehingga penjelasan visual SHAP terfragmentasi dan membingungkan secara klinis. Terakhir, Das et al. (2025) pada Nature and Science of Sleep membuktikan CatBoost meraih performa tertinggi (akurasi 71,67%, F1 71,23%) dibanding 5 model lainnya dalam prediksi insomnia, namun terbatas pada klasifikasi biner pasien rumah sakit dengan SMOTE sintetis dan tanpa purwarupa sistem web operasional. Belum ada penelitian yang memadukan CatBoost native handling dan SHAP lokal untuk klasifikasi multi-kelas risiko gaya hidup secara terintegrasi.</w:t>
      </w:r>
    </w:p>
    <w:p>
      <w:pPr>
        <w:spacing w:before="160" w:after="80"/>
      </w:pPr>
      <w:r>
        <w:rPr>
          <w:rFonts w:ascii="Times New Roman" w:hAnsi="Times New Roman"/>
          <w:b/>
          <w:i w:val="0"/>
          <w:color w:val="000000"/>
          <w:sz w:val="22"/>
        </w:rPr>
        <w:t>Tabel 2.1 Matriks Komparasi Penelitian Terdahulu, Celah Riset (Research Gap), dan Solusi Kebaruan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882"/>
        <w:gridCol w:w="882"/>
        <w:gridCol w:w="882"/>
        <w:gridCol w:w="882"/>
        <w:gridCol w:w="882"/>
        <w:gridCol w:w="882"/>
        <w:gridCol w:w="882"/>
        <w:gridCol w:w="882"/>
        <w:gridCol w:w="882"/>
      </w:tblGrid>
      <w:tr>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No</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Peneliti (Tahun)</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Judul Artikel</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Dataset yang Digunakan</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Algoritma dan Metode</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Metrik</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Hasil</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Celah (Research Gap)</w:t>
            </w:r>
          </w:p>
        </w:tc>
        <w:tc>
          <w:tcPr>
            <w:tcW w:type="dxa" w:w="882"/>
            <w:shd w:val="clear" w:color="auto" w:fill="F2F4F7"/>
            <w:vAlign w:val="top"/>
          </w:tcPr>
          <w:p>
            <w:pPr>
              <w:spacing w:before="40" w:after="40" w:line="252" w:lineRule="auto"/>
              <w:jc w:val="center"/>
            </w:pPr>
            <w:r/>
            <w:r>
              <w:rPr>
                <w:rFonts w:ascii="Times New Roman" w:hAnsi="Times New Roman"/>
                <w:b/>
                <w:i w:val="0"/>
                <w:color w:val="000000"/>
                <w:sz w:val="18"/>
              </w:rPr>
              <w:t>Masalah yang Diselesaikan oleh Skripsi Ini</w:t>
            </w:r>
          </w:p>
        </w:tc>
      </w:tr>
      <w:tr>
        <w:tc>
          <w:tcPr>
            <w:tcW w:type="dxa" w:w="882"/>
            <w:vAlign w:val="top"/>
          </w:tcPr>
          <w:p>
            <w:pPr>
              <w:spacing w:before="40" w:after="40" w:line="252" w:lineRule="auto"/>
              <w:jc w:val="center"/>
            </w:pPr>
            <w:r/>
            <w:r>
              <w:rPr>
                <w:rFonts w:ascii="Times New Roman" w:hAnsi="Times New Roman"/>
                <w:b w:val="0"/>
                <w:i w:val="0"/>
                <w:color w:val="000000"/>
                <w:sz w:val="17"/>
              </w:rPr>
              <w:t>1</w:t>
            </w:r>
          </w:p>
        </w:tc>
        <w:tc>
          <w:tcPr>
            <w:tcW w:type="dxa" w:w="882"/>
            <w:vAlign w:val="top"/>
          </w:tcPr>
          <w:p>
            <w:pPr>
              <w:spacing w:before="40" w:after="40" w:line="252" w:lineRule="auto"/>
              <w:jc w:val="left"/>
            </w:pPr>
            <w:r/>
            <w:r>
              <w:rPr>
                <w:rFonts w:ascii="Times New Roman" w:hAnsi="Times New Roman"/>
                <w:b/>
                <w:i w:val="0"/>
                <w:color w:val="000000"/>
                <w:sz w:val="17"/>
              </w:rPr>
              <w:t>Taher &amp; Ayon (2024)</w:t>
            </w:r>
          </w:p>
        </w:tc>
        <w:tc>
          <w:tcPr>
            <w:tcW w:type="dxa" w:w="882"/>
            <w:vAlign w:val="top"/>
          </w:tcPr>
          <w:p>
            <w:pPr>
              <w:spacing w:before="40" w:after="40" w:line="252" w:lineRule="auto"/>
              <w:jc w:val="left"/>
            </w:pPr>
            <w:r/>
            <w:r>
              <w:rPr>
                <w:rFonts w:ascii="Times New Roman" w:hAnsi="Times New Roman"/>
                <w:b w:val="0"/>
                <w:i/>
                <w:color w:val="000000"/>
                <w:sz w:val="17"/>
              </w:rPr>
              <w:t>Exploring Sleep Disorders: A Comparative Analysis of Machine Learning Algorithms on Sleep Health and Lifestyle Data</w:t>
            </w:r>
          </w:p>
        </w:tc>
        <w:tc>
          <w:tcPr>
            <w:tcW w:type="dxa" w:w="882"/>
            <w:vAlign w:val="top"/>
          </w:tcPr>
          <w:p>
            <w:pPr>
              <w:spacing w:before="40" w:after="40" w:line="252" w:lineRule="auto"/>
              <w:jc w:val="left"/>
            </w:pPr>
            <w:r/>
            <w:r>
              <w:rPr>
                <w:rFonts w:ascii="Times New Roman" w:hAnsi="Times New Roman"/>
                <w:b w:val="0"/>
                <w:i w:val="0"/>
                <w:color w:val="000000"/>
                <w:sz w:val="17"/>
              </w:rPr>
              <w:t>Sleep Health and Lifestyle Dataset (374 instans, 13 fitur demografi dan gaya hidup)</w:t>
            </w:r>
          </w:p>
        </w:tc>
        <w:tc>
          <w:tcPr>
            <w:tcW w:type="dxa" w:w="882"/>
            <w:vAlign w:val="top"/>
          </w:tcPr>
          <w:p>
            <w:pPr>
              <w:spacing w:before="40" w:after="40" w:line="252" w:lineRule="auto"/>
              <w:jc w:val="left"/>
            </w:pPr>
            <w:r/>
            <w:r>
              <w:rPr>
                <w:rFonts w:ascii="Times New Roman" w:hAnsi="Times New Roman"/>
                <w:b w:val="0"/>
                <w:i w:val="0"/>
                <w:color w:val="000000"/>
                <w:sz w:val="17"/>
              </w:rPr>
              <w:t>Random Forest, AdaBoost, Logistic Regression, Gradient Boosting Machine (GBM)</w:t>
            </w:r>
          </w:p>
        </w:tc>
        <w:tc>
          <w:tcPr>
            <w:tcW w:type="dxa" w:w="882"/>
            <w:vAlign w:val="top"/>
          </w:tcPr>
          <w:p>
            <w:pPr>
              <w:spacing w:before="40" w:after="40" w:line="252" w:lineRule="auto"/>
              <w:jc w:val="left"/>
            </w:pPr>
            <w:r/>
            <w:r>
              <w:rPr>
                <w:rFonts w:ascii="Times New Roman" w:hAnsi="Times New Roman"/>
                <w:b w:val="0"/>
                <w:i w:val="0"/>
                <w:color w:val="000000"/>
                <w:sz w:val="17"/>
              </w:rPr>
              <w:t>Akurasi, Precision, Recall, F1-Score</w:t>
            </w:r>
          </w:p>
        </w:tc>
        <w:tc>
          <w:tcPr>
            <w:tcW w:type="dxa" w:w="882"/>
            <w:vAlign w:val="top"/>
          </w:tcPr>
          <w:p>
            <w:pPr>
              <w:spacing w:before="40" w:after="40" w:line="252" w:lineRule="auto"/>
              <w:jc w:val="left"/>
            </w:pPr>
            <w:r/>
            <w:r>
              <w:rPr>
                <w:rFonts w:ascii="Times New Roman" w:hAnsi="Times New Roman"/>
                <w:b w:val="0"/>
                <w:i w:val="0"/>
                <w:color w:val="000000"/>
                <w:sz w:val="17"/>
              </w:rPr>
              <w:t>Gradient Boosting mencapai performa tertinggi: Akurasi 93,80%, Precision 94,10%, Recall 93,80%, dan F1-Score 93,90%.</w:t>
            </w:r>
          </w:p>
        </w:tc>
        <w:tc>
          <w:tcPr>
            <w:tcW w:type="dxa" w:w="882"/>
            <w:vAlign w:val="top"/>
          </w:tcPr>
          <w:p>
            <w:pPr>
              <w:spacing w:before="40" w:after="40" w:line="252" w:lineRule="auto"/>
              <w:jc w:val="left"/>
            </w:pPr>
            <w:r/>
            <w:r>
              <w:rPr>
                <w:rFonts w:ascii="Times New Roman" w:hAnsi="Times New Roman"/>
                <w:b w:val="0"/>
                <w:i w:val="0"/>
                <w:color w:val="000000"/>
                <w:sz w:val="17"/>
              </w:rPr>
              <w:t>Model murni beroperasi sebagai black-box tanpa penjelasan kontribusi fitur individual, serta variabel kategorikal diubah via label encoding manual yang memicu bias ordinal buatan.</w:t>
            </w:r>
          </w:p>
        </w:tc>
        <w:tc>
          <w:tcPr>
            <w:tcW w:type="dxa" w:w="882"/>
            <w:vAlign w:val="top"/>
          </w:tcPr>
          <w:p>
            <w:pPr>
              <w:spacing w:before="40" w:after="40" w:line="252" w:lineRule="auto"/>
              <w:jc w:val="left"/>
            </w:pPr>
            <w:r/>
            <w:r>
              <w:rPr>
                <w:rFonts w:ascii="Times New Roman" w:hAnsi="Times New Roman"/>
                <w:b w:val="0"/>
                <w:i w:val="0"/>
                <w:color w:val="000000"/>
                <w:sz w:val="17"/>
              </w:rPr>
              <w:t>Menerapkan algoritma CatBoost yang memproses fitur kategorikal secara native dan mengintegrasikan Tree-SHAP untuk membedah transparansi penyebab risiko secara personal per individu.</w:t>
            </w:r>
          </w:p>
        </w:tc>
      </w:tr>
      <w:tr>
        <w:tc>
          <w:tcPr>
            <w:tcW w:type="dxa" w:w="882"/>
            <w:vAlign w:val="top"/>
          </w:tcPr>
          <w:p>
            <w:pPr>
              <w:spacing w:before="40" w:after="40" w:line="252" w:lineRule="auto"/>
              <w:jc w:val="center"/>
            </w:pPr>
            <w:r/>
            <w:r>
              <w:rPr>
                <w:rFonts w:ascii="Times New Roman" w:hAnsi="Times New Roman"/>
                <w:b w:val="0"/>
                <w:i w:val="0"/>
                <w:color w:val="000000"/>
                <w:sz w:val="17"/>
              </w:rPr>
              <w:t>2</w:t>
            </w:r>
          </w:p>
        </w:tc>
        <w:tc>
          <w:tcPr>
            <w:tcW w:type="dxa" w:w="882"/>
            <w:vAlign w:val="top"/>
          </w:tcPr>
          <w:p>
            <w:pPr>
              <w:spacing w:before="40" w:after="40" w:line="252" w:lineRule="auto"/>
              <w:jc w:val="left"/>
            </w:pPr>
            <w:r/>
            <w:r>
              <w:rPr>
                <w:rFonts w:ascii="Times New Roman" w:hAnsi="Times New Roman"/>
                <w:b/>
                <w:i w:val="0"/>
                <w:color w:val="000000"/>
                <w:sz w:val="17"/>
              </w:rPr>
              <w:t>Lin et al. (2025)</w:t>
            </w:r>
          </w:p>
        </w:tc>
        <w:tc>
          <w:tcPr>
            <w:tcW w:type="dxa" w:w="882"/>
            <w:vAlign w:val="top"/>
          </w:tcPr>
          <w:p>
            <w:pPr>
              <w:spacing w:before="40" w:after="40" w:line="252" w:lineRule="auto"/>
              <w:jc w:val="left"/>
            </w:pPr>
            <w:r/>
            <w:r>
              <w:rPr>
                <w:rFonts w:ascii="Times New Roman" w:hAnsi="Times New Roman"/>
                <w:b w:val="0"/>
                <w:i/>
                <w:color w:val="000000"/>
                <w:sz w:val="17"/>
              </w:rPr>
              <w:t>Evaluation of Sleep Quality and Influencing Factors Among Medical and Non-Medical Students Using Machine Learning Techniques in Fujian During the Public Health Emergencies</w:t>
            </w:r>
          </w:p>
        </w:tc>
        <w:tc>
          <w:tcPr>
            <w:tcW w:type="dxa" w:w="882"/>
            <w:vAlign w:val="top"/>
          </w:tcPr>
          <w:p>
            <w:pPr>
              <w:spacing w:before="40" w:after="40" w:line="252" w:lineRule="auto"/>
              <w:jc w:val="left"/>
            </w:pPr>
            <w:r/>
            <w:r>
              <w:rPr>
                <w:rFonts w:ascii="Times New Roman" w:hAnsi="Times New Roman"/>
                <w:b w:val="0"/>
                <w:i w:val="0"/>
                <w:color w:val="000000"/>
                <w:sz w:val="17"/>
              </w:rPr>
              <w:t>Data survei kuesioner PSQI 20.645 mahasiswa di Fujian, Tiongkok</w:t>
            </w:r>
          </w:p>
        </w:tc>
        <w:tc>
          <w:tcPr>
            <w:tcW w:type="dxa" w:w="882"/>
            <w:vAlign w:val="top"/>
          </w:tcPr>
          <w:p>
            <w:pPr>
              <w:spacing w:before="40" w:after="40" w:line="252" w:lineRule="auto"/>
              <w:jc w:val="left"/>
            </w:pPr>
            <w:r/>
            <w:r>
              <w:rPr>
                <w:rFonts w:ascii="Times New Roman" w:hAnsi="Times New Roman"/>
                <w:b w:val="0"/>
                <w:i w:val="0"/>
                <w:color w:val="000000"/>
                <w:sz w:val="17"/>
              </w:rPr>
              <w:t>Artificial Neural Network (ANN), Decision Tree, Gradient Boosting Trees, Naive Bayes</w:t>
            </w:r>
          </w:p>
        </w:tc>
        <w:tc>
          <w:tcPr>
            <w:tcW w:type="dxa" w:w="882"/>
            <w:vAlign w:val="top"/>
          </w:tcPr>
          <w:p>
            <w:pPr>
              <w:spacing w:before="40" w:after="40" w:line="252" w:lineRule="auto"/>
              <w:jc w:val="left"/>
            </w:pPr>
            <w:r/>
            <w:r>
              <w:rPr>
                <w:rFonts w:ascii="Times New Roman" w:hAnsi="Times New Roman"/>
                <w:b w:val="0"/>
                <w:i w:val="0"/>
                <w:color w:val="000000"/>
                <w:sz w:val="17"/>
              </w:rPr>
              <w:t>Akurasi, Sensitivity, Specificity, AUC-ROC</w:t>
            </w:r>
          </w:p>
        </w:tc>
        <w:tc>
          <w:tcPr>
            <w:tcW w:type="dxa" w:w="882"/>
            <w:vAlign w:val="top"/>
          </w:tcPr>
          <w:p>
            <w:pPr>
              <w:spacing w:before="40" w:after="40" w:line="252" w:lineRule="auto"/>
              <w:jc w:val="left"/>
            </w:pPr>
            <w:r/>
            <w:r>
              <w:rPr>
                <w:rFonts w:ascii="Times New Roman" w:hAnsi="Times New Roman"/>
                <w:b w:val="0"/>
                <w:i w:val="0"/>
                <w:color w:val="000000"/>
                <w:sz w:val="17"/>
              </w:rPr>
              <w:t>Model ensemble memetakan faktor risiko mahasiswa dengan Akurasi 86,40% dan AUC-ROC 0,891.</w:t>
            </w:r>
          </w:p>
        </w:tc>
        <w:tc>
          <w:tcPr>
            <w:tcW w:type="dxa" w:w="882"/>
            <w:vAlign w:val="top"/>
          </w:tcPr>
          <w:p>
            <w:pPr>
              <w:spacing w:before="40" w:after="40" w:line="252" w:lineRule="auto"/>
              <w:jc w:val="left"/>
            </w:pPr>
            <w:r/>
            <w:r>
              <w:rPr>
                <w:rFonts w:ascii="Times New Roman" w:hAnsi="Times New Roman"/>
                <w:b w:val="0"/>
                <w:i w:val="0"/>
                <w:color w:val="000000"/>
                <w:sz w:val="17"/>
              </w:rPr>
              <w:t>Analisis hanya berlaku di tingkat agregat populasi (makro); tidak mampu memberikan penjelasan personal di tingkat individu (local explanation) untuk interaksi non-linier kebiasaan digital.</w:t>
            </w:r>
          </w:p>
        </w:tc>
        <w:tc>
          <w:tcPr>
            <w:tcW w:type="dxa" w:w="882"/>
            <w:vAlign w:val="top"/>
          </w:tcPr>
          <w:p>
            <w:pPr>
              <w:spacing w:before="40" w:after="40" w:line="252" w:lineRule="auto"/>
              <w:jc w:val="left"/>
            </w:pPr>
            <w:r/>
            <w:r>
              <w:rPr>
                <w:rFonts w:ascii="Times New Roman" w:hAnsi="Times New Roman"/>
                <w:b w:val="0"/>
                <w:i w:val="0"/>
                <w:color w:val="000000"/>
                <w:sz w:val="17"/>
              </w:rPr>
              <w:t>Menganalisis interaksi non-linier fitur gaya hidup secara granular per individu menggunakan CatBoost dan visualisasi Tree-SHAP individual, bukan sekadar agregasi populasi.</w:t>
            </w:r>
          </w:p>
        </w:tc>
      </w:tr>
      <w:tr>
        <w:tc>
          <w:tcPr>
            <w:tcW w:type="dxa" w:w="882"/>
            <w:vAlign w:val="top"/>
          </w:tcPr>
          <w:p>
            <w:pPr>
              <w:spacing w:before="40" w:after="40" w:line="252" w:lineRule="auto"/>
              <w:jc w:val="center"/>
            </w:pPr>
            <w:r/>
            <w:r>
              <w:rPr>
                <w:rFonts w:ascii="Times New Roman" w:hAnsi="Times New Roman"/>
                <w:b w:val="0"/>
                <w:i w:val="0"/>
                <w:color w:val="000000"/>
                <w:sz w:val="17"/>
              </w:rPr>
              <w:t>3</w:t>
            </w:r>
          </w:p>
        </w:tc>
        <w:tc>
          <w:tcPr>
            <w:tcW w:type="dxa" w:w="882"/>
            <w:vAlign w:val="top"/>
          </w:tcPr>
          <w:p>
            <w:pPr>
              <w:spacing w:before="40" w:after="40" w:line="252" w:lineRule="auto"/>
              <w:jc w:val="left"/>
            </w:pPr>
            <w:r/>
            <w:r>
              <w:rPr>
                <w:rFonts w:ascii="Times New Roman" w:hAnsi="Times New Roman"/>
                <w:b/>
                <w:i w:val="0"/>
                <w:color w:val="000000"/>
                <w:sz w:val="17"/>
              </w:rPr>
              <w:t>Ha et al. (2023)</w:t>
            </w:r>
          </w:p>
        </w:tc>
        <w:tc>
          <w:tcPr>
            <w:tcW w:type="dxa" w:w="882"/>
            <w:vAlign w:val="top"/>
          </w:tcPr>
          <w:p>
            <w:pPr>
              <w:spacing w:before="40" w:after="40" w:line="252" w:lineRule="auto"/>
              <w:jc w:val="left"/>
            </w:pPr>
            <w:r/>
            <w:r>
              <w:rPr>
                <w:rFonts w:ascii="Times New Roman" w:hAnsi="Times New Roman"/>
                <w:b w:val="0"/>
                <w:i/>
                <w:color w:val="000000"/>
                <w:sz w:val="17"/>
              </w:rPr>
              <w:t>Predicting the Risk of Sleep Disorders Using a Machine Learning–Based Simple Questionnaire: Development and Validation Study</w:t>
            </w:r>
          </w:p>
        </w:tc>
        <w:tc>
          <w:tcPr>
            <w:tcW w:type="dxa" w:w="882"/>
            <w:vAlign w:val="top"/>
          </w:tcPr>
          <w:p>
            <w:pPr>
              <w:spacing w:before="40" w:after="40" w:line="252" w:lineRule="auto"/>
              <w:jc w:val="left"/>
            </w:pPr>
            <w:r/>
            <w:r>
              <w:rPr>
                <w:rFonts w:ascii="Times New Roman" w:hAnsi="Times New Roman"/>
                <w:b w:val="0"/>
                <w:i w:val="0"/>
                <w:color w:val="000000"/>
                <w:sz w:val="17"/>
              </w:rPr>
              <w:t>Data klinis 4.622 pasien dari 2 rumah sakit (Samsung Medical Center &amp; Ewha Womans University Medical Center)</w:t>
            </w:r>
          </w:p>
        </w:tc>
        <w:tc>
          <w:tcPr>
            <w:tcW w:type="dxa" w:w="882"/>
            <w:vAlign w:val="top"/>
          </w:tcPr>
          <w:p>
            <w:pPr>
              <w:spacing w:before="40" w:after="40" w:line="252" w:lineRule="auto"/>
              <w:jc w:val="left"/>
            </w:pPr>
            <w:r/>
            <w:r>
              <w:rPr>
                <w:rFonts w:ascii="Times New Roman" w:hAnsi="Times New Roman"/>
                <w:b w:val="0"/>
                <w:i w:val="0"/>
                <w:color w:val="000000"/>
                <w:sz w:val="17"/>
              </w:rPr>
              <w:t>Extreme Gradient Boosting (XGBoost) dengan seleksi fitur SHAP</w:t>
            </w:r>
          </w:p>
        </w:tc>
        <w:tc>
          <w:tcPr>
            <w:tcW w:type="dxa" w:w="882"/>
            <w:vAlign w:val="top"/>
          </w:tcPr>
          <w:p>
            <w:pPr>
              <w:spacing w:before="40" w:after="40" w:line="252" w:lineRule="auto"/>
              <w:jc w:val="left"/>
            </w:pPr>
            <w:r/>
            <w:r>
              <w:rPr>
                <w:rFonts w:ascii="Times New Roman" w:hAnsi="Times New Roman"/>
                <w:b w:val="0"/>
                <w:i w:val="0"/>
                <w:color w:val="000000"/>
                <w:sz w:val="17"/>
              </w:rPr>
              <w:t>AUROC, Sensitivity, Specificity, Brier Score</w:t>
            </w:r>
          </w:p>
        </w:tc>
        <w:tc>
          <w:tcPr>
            <w:tcW w:type="dxa" w:w="882"/>
            <w:vAlign w:val="top"/>
          </w:tcPr>
          <w:p>
            <w:pPr>
              <w:spacing w:before="40" w:after="40" w:line="252" w:lineRule="auto"/>
              <w:jc w:val="left"/>
            </w:pPr>
            <w:r/>
            <w:r>
              <w:rPr>
                <w:rFonts w:ascii="Times New Roman" w:hAnsi="Times New Roman"/>
                <w:b w:val="0"/>
                <w:i w:val="0"/>
                <w:color w:val="000000"/>
                <w:sz w:val="17"/>
              </w:rPr>
              <w:t>AUROC &gt; 0,897 untuk ketiga gangguan tidur (OSA, COMISA, insomnia); menghasilkan kuesioner ringkas SLEEPS 9 item.</w:t>
            </w:r>
          </w:p>
        </w:tc>
        <w:tc>
          <w:tcPr>
            <w:tcW w:type="dxa" w:w="882"/>
            <w:vAlign w:val="top"/>
          </w:tcPr>
          <w:p>
            <w:pPr>
              <w:spacing w:before="40" w:after="40" w:line="252" w:lineRule="auto"/>
              <w:jc w:val="left"/>
            </w:pPr>
            <w:r/>
            <w:r>
              <w:rPr>
                <w:rFonts w:ascii="Times New Roman" w:hAnsi="Times New Roman"/>
                <w:b w:val="0"/>
                <w:i w:val="0"/>
                <w:color w:val="000000"/>
                <w:sz w:val="17"/>
              </w:rPr>
              <w:t>Memerlukan encoding manual pada XGBoost; dataset berbasis kuesioner klinis dan data antropometrik statis (bukan kebiasaan harian modifiable); SHAP hanya untuk seleksi fitur awal, bukan visualisasi real-time per pasien.</w:t>
            </w:r>
          </w:p>
        </w:tc>
        <w:tc>
          <w:tcPr>
            <w:tcW w:type="dxa" w:w="882"/>
            <w:vAlign w:val="top"/>
          </w:tcPr>
          <w:p>
            <w:pPr>
              <w:spacing w:before="40" w:after="40" w:line="252" w:lineRule="auto"/>
              <w:jc w:val="left"/>
            </w:pPr>
            <w:r/>
            <w:r>
              <w:rPr>
                <w:rFonts w:ascii="Times New Roman" w:hAnsi="Times New Roman"/>
                <w:b w:val="0"/>
                <w:i w:val="0"/>
                <w:color w:val="000000"/>
                <w:sz w:val="17"/>
              </w:rPr>
              <w:t>Menggunakan parameter gaya hidup harian yang dapat diubah (modifiable digital lifestyle), memproses data kategorikal secara native dengan CatBoost, dan menyajikan penjelasan SHAP interaktif real-time per pasien dalam sistem CDSS.</w:t>
            </w:r>
          </w:p>
        </w:tc>
      </w:tr>
      <w:tr>
        <w:tc>
          <w:tcPr>
            <w:tcW w:type="dxa" w:w="882"/>
            <w:vAlign w:val="top"/>
          </w:tcPr>
          <w:p>
            <w:pPr>
              <w:spacing w:before="40" w:after="40" w:line="252" w:lineRule="auto"/>
              <w:jc w:val="center"/>
            </w:pPr>
            <w:r/>
            <w:r>
              <w:rPr>
                <w:rFonts w:ascii="Times New Roman" w:hAnsi="Times New Roman"/>
                <w:b w:val="0"/>
                <w:i w:val="0"/>
                <w:color w:val="000000"/>
                <w:sz w:val="17"/>
              </w:rPr>
              <w:t>4</w:t>
            </w:r>
          </w:p>
        </w:tc>
        <w:tc>
          <w:tcPr>
            <w:tcW w:type="dxa" w:w="882"/>
            <w:vAlign w:val="top"/>
          </w:tcPr>
          <w:p>
            <w:pPr>
              <w:spacing w:before="40" w:after="40" w:line="252" w:lineRule="auto"/>
              <w:jc w:val="left"/>
            </w:pPr>
            <w:r/>
            <w:r>
              <w:rPr>
                <w:rFonts w:ascii="Times New Roman" w:hAnsi="Times New Roman"/>
                <w:b/>
                <w:i w:val="0"/>
                <w:color w:val="000000"/>
                <w:sz w:val="17"/>
              </w:rPr>
              <w:t>Xie et al. (2026)</w:t>
            </w:r>
          </w:p>
        </w:tc>
        <w:tc>
          <w:tcPr>
            <w:tcW w:type="dxa" w:w="882"/>
            <w:vAlign w:val="top"/>
          </w:tcPr>
          <w:p>
            <w:pPr>
              <w:spacing w:before="40" w:after="40" w:line="252" w:lineRule="auto"/>
              <w:jc w:val="left"/>
            </w:pPr>
            <w:r/>
            <w:r>
              <w:rPr>
                <w:rFonts w:ascii="Times New Roman" w:hAnsi="Times New Roman"/>
                <w:b w:val="0"/>
                <w:i/>
                <w:color w:val="000000"/>
                <w:sz w:val="17"/>
              </w:rPr>
              <w:t>Identifying Influencing Factors Associated with Sleep Quality in Undergraduates Based on Partial Least Squares Regression and XGBoost</w:t>
            </w:r>
          </w:p>
        </w:tc>
        <w:tc>
          <w:tcPr>
            <w:tcW w:type="dxa" w:w="882"/>
            <w:vAlign w:val="top"/>
          </w:tcPr>
          <w:p>
            <w:pPr>
              <w:spacing w:before="40" w:after="40" w:line="252" w:lineRule="auto"/>
              <w:jc w:val="left"/>
            </w:pPr>
            <w:r/>
            <w:r>
              <w:rPr>
                <w:rFonts w:ascii="Times New Roman" w:hAnsi="Times New Roman"/>
                <w:b w:val="0"/>
                <w:i w:val="0"/>
                <w:color w:val="000000"/>
                <w:sz w:val="17"/>
              </w:rPr>
              <w:t>Data kuesioner gaya hidup 1.842 mahasiswa sarjana</w:t>
            </w:r>
          </w:p>
        </w:tc>
        <w:tc>
          <w:tcPr>
            <w:tcW w:type="dxa" w:w="882"/>
            <w:vAlign w:val="top"/>
          </w:tcPr>
          <w:p>
            <w:pPr>
              <w:spacing w:before="40" w:after="40" w:line="252" w:lineRule="auto"/>
              <w:jc w:val="left"/>
            </w:pPr>
            <w:r/>
            <w:r>
              <w:rPr>
                <w:rFonts w:ascii="Times New Roman" w:hAnsi="Times New Roman"/>
                <w:b w:val="0"/>
                <w:i w:val="0"/>
                <w:color w:val="000000"/>
                <w:sz w:val="17"/>
              </w:rPr>
              <w:t>Partial Least Squares Regression (PLSR) dan XGBoost</w:t>
            </w:r>
          </w:p>
        </w:tc>
        <w:tc>
          <w:tcPr>
            <w:tcW w:type="dxa" w:w="882"/>
            <w:vAlign w:val="top"/>
          </w:tcPr>
          <w:p>
            <w:pPr>
              <w:spacing w:before="40" w:after="40" w:line="252" w:lineRule="auto"/>
              <w:jc w:val="left"/>
            </w:pPr>
            <w:r/>
            <w:r>
              <w:rPr>
                <w:rFonts w:ascii="Times New Roman" w:hAnsi="Times New Roman"/>
                <w:b w:val="0"/>
                <w:i w:val="0"/>
                <w:color w:val="000000"/>
                <w:sz w:val="17"/>
              </w:rPr>
              <w:t>R², RMSE, MAE, Variable Importance in Projection (VIP)</w:t>
            </w:r>
          </w:p>
        </w:tc>
        <w:tc>
          <w:tcPr>
            <w:tcW w:type="dxa" w:w="882"/>
            <w:vAlign w:val="top"/>
          </w:tcPr>
          <w:p>
            <w:pPr>
              <w:spacing w:before="40" w:after="40" w:line="252" w:lineRule="auto"/>
              <w:jc w:val="left"/>
            </w:pPr>
            <w:r/>
            <w:r>
              <w:rPr>
                <w:rFonts w:ascii="Times New Roman" w:hAnsi="Times New Roman"/>
                <w:b w:val="0"/>
                <w:i w:val="0"/>
                <w:color w:val="000000"/>
                <w:sz w:val="17"/>
              </w:rPr>
              <w:t>XGBoost mengidentifikasi screen time, tingkat stres, dan konsumsi kafein sebagai prediktor utama kualitas tidur (R² = 0,782, RMSE = 0,412).</w:t>
            </w:r>
          </w:p>
        </w:tc>
        <w:tc>
          <w:tcPr>
            <w:tcW w:type="dxa" w:w="882"/>
            <w:vAlign w:val="top"/>
          </w:tcPr>
          <w:p>
            <w:pPr>
              <w:spacing w:before="40" w:after="40" w:line="252" w:lineRule="auto"/>
              <w:jc w:val="left"/>
            </w:pPr>
            <w:r/>
            <w:r>
              <w:rPr>
                <w:rFonts w:ascii="Times New Roman" w:hAnsi="Times New Roman"/>
                <w:b w:val="0"/>
                <w:i w:val="0"/>
                <w:color w:val="000000"/>
                <w:sz w:val="17"/>
              </w:rPr>
              <w:t>One-hot encoding pada data kategori memecah fitur menjadi variabel dummy, memicu fragmentasi interpretasi; rekomendasi hanya bersifat umum tanpa takaran target perubahan kebiasaan yang terukur.</w:t>
            </w:r>
          </w:p>
        </w:tc>
        <w:tc>
          <w:tcPr>
            <w:tcW w:type="dxa" w:w="882"/>
            <w:vAlign w:val="top"/>
          </w:tcPr>
          <w:p>
            <w:pPr>
              <w:spacing w:before="40" w:after="40" w:line="252" w:lineRule="auto"/>
              <w:jc w:val="left"/>
            </w:pPr>
            <w:r/>
            <w:r>
              <w:rPr>
                <w:rFonts w:ascii="Times New Roman" w:hAnsi="Times New Roman"/>
                <w:b w:val="0"/>
                <w:i w:val="0"/>
                <w:color w:val="000000"/>
                <w:sz w:val="17"/>
              </w:rPr>
              <w:t>Menghindari fragmentasi variabel dengan penanganan native CatBoost dan memetakan nilai SHAP langsung menjadi target intervensi perilaku kuantitatif (personalized actionable targets) seperti batas menit main HP dan cut-off kafein.</w:t>
            </w:r>
          </w:p>
        </w:tc>
      </w:tr>
      <w:tr>
        <w:tc>
          <w:tcPr>
            <w:tcW w:type="dxa" w:w="882"/>
            <w:vAlign w:val="top"/>
          </w:tcPr>
          <w:p>
            <w:pPr>
              <w:spacing w:before="40" w:after="40" w:line="252" w:lineRule="auto"/>
              <w:jc w:val="center"/>
            </w:pPr>
            <w:r/>
            <w:r>
              <w:rPr>
                <w:rFonts w:ascii="Times New Roman" w:hAnsi="Times New Roman"/>
                <w:b w:val="0"/>
                <w:i w:val="0"/>
                <w:color w:val="000000"/>
                <w:sz w:val="17"/>
              </w:rPr>
              <w:t>5</w:t>
            </w:r>
          </w:p>
        </w:tc>
        <w:tc>
          <w:tcPr>
            <w:tcW w:type="dxa" w:w="882"/>
            <w:vAlign w:val="top"/>
          </w:tcPr>
          <w:p>
            <w:pPr>
              <w:spacing w:before="40" w:after="40" w:line="252" w:lineRule="auto"/>
              <w:jc w:val="left"/>
            </w:pPr>
            <w:r/>
            <w:r>
              <w:rPr>
                <w:rFonts w:ascii="Times New Roman" w:hAnsi="Times New Roman"/>
                <w:b/>
                <w:i w:val="0"/>
                <w:color w:val="000000"/>
                <w:sz w:val="17"/>
              </w:rPr>
              <w:t>Das et al. (2025)</w:t>
            </w:r>
          </w:p>
        </w:tc>
        <w:tc>
          <w:tcPr>
            <w:tcW w:type="dxa" w:w="882"/>
            <w:vAlign w:val="top"/>
          </w:tcPr>
          <w:p>
            <w:pPr>
              <w:spacing w:before="40" w:after="40" w:line="252" w:lineRule="auto"/>
              <w:jc w:val="left"/>
            </w:pPr>
            <w:r/>
            <w:r>
              <w:rPr>
                <w:rFonts w:ascii="Times New Roman" w:hAnsi="Times New Roman"/>
                <w:b w:val="0"/>
                <w:i/>
                <w:color w:val="000000"/>
                <w:sz w:val="17"/>
              </w:rPr>
              <w:t>Prevalence and Factors Associated with Insomnia Among Chronic Disease Patients in Bangladesh: A Machine Learning Study</w:t>
            </w:r>
          </w:p>
        </w:tc>
        <w:tc>
          <w:tcPr>
            <w:tcW w:type="dxa" w:w="882"/>
            <w:vAlign w:val="top"/>
          </w:tcPr>
          <w:p>
            <w:pPr>
              <w:spacing w:before="40" w:after="40" w:line="252" w:lineRule="auto"/>
              <w:jc w:val="left"/>
            </w:pPr>
            <w:r/>
            <w:r>
              <w:rPr>
                <w:rFonts w:ascii="Times New Roman" w:hAnsi="Times New Roman"/>
                <w:b w:val="0"/>
                <w:i w:val="0"/>
                <w:color w:val="000000"/>
                <w:sz w:val="17"/>
              </w:rPr>
              <w:t>Data survei klinis 1.222 pasien penyakit kronis di Bangladesh</w:t>
            </w:r>
          </w:p>
        </w:tc>
        <w:tc>
          <w:tcPr>
            <w:tcW w:type="dxa" w:w="882"/>
            <w:vAlign w:val="top"/>
          </w:tcPr>
          <w:p>
            <w:pPr>
              <w:spacing w:before="40" w:after="40" w:line="252" w:lineRule="auto"/>
              <w:jc w:val="left"/>
            </w:pPr>
            <w:r/>
            <w:r>
              <w:rPr>
                <w:rFonts w:ascii="Times New Roman" w:hAnsi="Times New Roman"/>
                <w:b w:val="0"/>
                <w:i w:val="0"/>
                <w:color w:val="000000"/>
                <w:sz w:val="17"/>
              </w:rPr>
              <w:t>KNN, Random Forest, SVM, GBM, XGBoost, dan CatBoost</w:t>
            </w:r>
          </w:p>
        </w:tc>
        <w:tc>
          <w:tcPr>
            <w:tcW w:type="dxa" w:w="882"/>
            <w:vAlign w:val="top"/>
          </w:tcPr>
          <w:p>
            <w:pPr>
              <w:spacing w:before="40" w:after="40" w:line="252" w:lineRule="auto"/>
              <w:jc w:val="left"/>
            </w:pPr>
            <w:r/>
            <w:r>
              <w:rPr>
                <w:rFonts w:ascii="Times New Roman" w:hAnsi="Times New Roman"/>
                <w:b w:val="0"/>
                <w:i w:val="0"/>
                <w:color w:val="000000"/>
                <w:sz w:val="17"/>
              </w:rPr>
              <w:t>Akurasi, Precision, Recall, F1-Score, AUC-ROC</w:t>
            </w:r>
          </w:p>
        </w:tc>
        <w:tc>
          <w:tcPr>
            <w:tcW w:type="dxa" w:w="882"/>
            <w:vAlign w:val="top"/>
          </w:tcPr>
          <w:p>
            <w:pPr>
              <w:spacing w:before="40" w:after="40" w:line="252" w:lineRule="auto"/>
              <w:jc w:val="left"/>
            </w:pPr>
            <w:r/>
            <w:r>
              <w:rPr>
                <w:rFonts w:ascii="Times New Roman" w:hAnsi="Times New Roman"/>
                <w:b w:val="0"/>
                <w:i w:val="0"/>
                <w:color w:val="000000"/>
                <w:sz w:val="17"/>
              </w:rPr>
              <w:t>CatBoost meraih performa tertinggi di antara seluruh model: Akurasi 71,67%, F1-Score 71,23%, dan AUC-ROC 77,27%.</w:t>
            </w:r>
          </w:p>
        </w:tc>
        <w:tc>
          <w:tcPr>
            <w:tcW w:type="dxa" w:w="882"/>
            <w:vAlign w:val="top"/>
          </w:tcPr>
          <w:p>
            <w:pPr>
              <w:spacing w:before="40" w:after="40" w:line="252" w:lineRule="auto"/>
              <w:jc w:val="left"/>
            </w:pPr>
            <w:r/>
            <w:r>
              <w:rPr>
                <w:rFonts w:ascii="Times New Roman" w:hAnsi="Times New Roman"/>
                <w:b w:val="0"/>
                <w:i w:val="0"/>
                <w:color w:val="000000"/>
                <w:sz w:val="17"/>
              </w:rPr>
              <w:t>Target klasifikasi terbatas biner sederhana (Insomnia vs Non-Insomnia); sampel terbatas pada pasien penyakit kronis; evaluasi SHAP hanya beeswarm global; tidak diimplementasikan ke dalam prototipe CDSS interaktif.</w:t>
            </w:r>
          </w:p>
        </w:tc>
        <w:tc>
          <w:tcPr>
            <w:tcW w:type="dxa" w:w="882"/>
            <w:vAlign w:val="top"/>
          </w:tcPr>
          <w:p>
            <w:pPr>
              <w:spacing w:before="40" w:after="40" w:line="252" w:lineRule="auto"/>
              <w:jc w:val="left"/>
            </w:pPr>
            <w:r/>
            <w:r>
              <w:rPr>
                <w:rFonts w:ascii="Times New Roman" w:hAnsi="Times New Roman"/>
                <w:b w:val="0"/>
                <w:i w:val="0"/>
                <w:color w:val="000000"/>
                <w:sz w:val="17"/>
              </w:rPr>
              <w:t>Mengklasifikasikan 4 tingkatan keparahan risiko secara bertingkat (Healthy, Mild, Moderate, Severe), pada populasi umum gaya hidup digital 100.000 instans, dilengkapi penjelasan lokal individual dan purwarupa sistem CDSS interaktif dengan simulasi What-If.</w:t>
            </w:r>
          </w:p>
        </w:tc>
      </w:tr>
      <w:tr>
        <w:tc>
          <w:tcPr>
            <w:tcW w:type="dxa" w:w="882"/>
            <w:vAlign w:val="top"/>
          </w:tcPr>
          <w:p>
            <w:pPr>
              <w:spacing w:before="40" w:after="40" w:line="252" w:lineRule="auto"/>
              <w:jc w:val="center"/>
            </w:pPr>
            <w:r/>
            <w:r>
              <w:rPr>
                <w:rFonts w:ascii="Times New Roman" w:hAnsi="Times New Roman"/>
                <w:b w:val="0"/>
                <w:i w:val="0"/>
                <w:color w:val="000000"/>
                <w:sz w:val="17"/>
              </w:rPr>
              <w:t>6</w:t>
            </w:r>
          </w:p>
        </w:tc>
        <w:tc>
          <w:tcPr>
            <w:tcW w:type="dxa" w:w="882"/>
            <w:vAlign w:val="top"/>
          </w:tcPr>
          <w:p>
            <w:pPr>
              <w:spacing w:before="40" w:after="40" w:line="252" w:lineRule="auto"/>
              <w:jc w:val="left"/>
            </w:pPr>
            <w:r/>
            <w:r>
              <w:rPr>
                <w:rFonts w:ascii="Times New Roman" w:hAnsi="Times New Roman"/>
                <w:b/>
                <w:i w:val="0"/>
                <w:color w:val="000000"/>
                <w:sz w:val="17"/>
              </w:rPr>
              <w:t>Srinivasu et al. (2024)</w:t>
            </w:r>
          </w:p>
        </w:tc>
        <w:tc>
          <w:tcPr>
            <w:tcW w:type="dxa" w:w="882"/>
            <w:vAlign w:val="top"/>
          </w:tcPr>
          <w:p>
            <w:pPr>
              <w:spacing w:before="40" w:after="40" w:line="252" w:lineRule="auto"/>
              <w:jc w:val="left"/>
            </w:pPr>
            <w:r/>
            <w:r>
              <w:rPr>
                <w:rFonts w:ascii="Times New Roman" w:hAnsi="Times New Roman"/>
                <w:b w:val="0"/>
                <w:i/>
                <w:color w:val="000000"/>
                <w:sz w:val="17"/>
              </w:rPr>
              <w:t>XAI-Driven CatBoost Multi-Layer Perceptron Neural Network for Analyzing Breast Cancer</w:t>
            </w:r>
          </w:p>
        </w:tc>
        <w:tc>
          <w:tcPr>
            <w:tcW w:type="dxa" w:w="882"/>
            <w:vAlign w:val="top"/>
          </w:tcPr>
          <w:p>
            <w:pPr>
              <w:spacing w:before="40" w:after="40" w:line="252" w:lineRule="auto"/>
              <w:jc w:val="left"/>
            </w:pPr>
            <w:r/>
            <w:r>
              <w:rPr>
                <w:rFonts w:ascii="Times New Roman" w:hAnsi="Times New Roman"/>
                <w:b w:val="0"/>
                <w:i w:val="0"/>
                <w:color w:val="000000"/>
                <w:sz w:val="17"/>
              </w:rPr>
              <w:t>Breast Cancer Wisconsin Diagnostic Dataset (WDBC) (569 instans, 30 fitur laboratorium)</w:t>
            </w:r>
          </w:p>
        </w:tc>
        <w:tc>
          <w:tcPr>
            <w:tcW w:type="dxa" w:w="882"/>
            <w:vAlign w:val="top"/>
          </w:tcPr>
          <w:p>
            <w:pPr>
              <w:spacing w:before="40" w:after="40" w:line="252" w:lineRule="auto"/>
              <w:jc w:val="left"/>
            </w:pPr>
            <w:r/>
            <w:r>
              <w:rPr>
                <w:rFonts w:ascii="Times New Roman" w:hAnsi="Times New Roman"/>
                <w:b w:val="0"/>
                <w:i w:val="0"/>
                <w:color w:val="000000"/>
                <w:sz w:val="17"/>
              </w:rPr>
              <w:t>Hybrid CatBoost + Multi-Layer Perceptron (MLP) dengan seleksi fitur ANOVA dan Tree-SHAP</w:t>
            </w:r>
          </w:p>
        </w:tc>
        <w:tc>
          <w:tcPr>
            <w:tcW w:type="dxa" w:w="882"/>
            <w:vAlign w:val="top"/>
          </w:tcPr>
          <w:p>
            <w:pPr>
              <w:spacing w:before="40" w:after="40" w:line="252" w:lineRule="auto"/>
              <w:jc w:val="left"/>
            </w:pPr>
            <w:r/>
            <w:r>
              <w:rPr>
                <w:rFonts w:ascii="Times New Roman" w:hAnsi="Times New Roman"/>
                <w:b w:val="0"/>
                <w:i w:val="0"/>
                <w:color w:val="000000"/>
                <w:sz w:val="17"/>
              </w:rPr>
              <w:t>Akurasi, Precision, Recall, F1-Score, Specificity</w:t>
            </w:r>
          </w:p>
        </w:tc>
        <w:tc>
          <w:tcPr>
            <w:tcW w:type="dxa" w:w="882"/>
            <w:vAlign w:val="top"/>
          </w:tcPr>
          <w:p>
            <w:pPr>
              <w:spacing w:before="40" w:after="40" w:line="252" w:lineRule="auto"/>
              <w:jc w:val="left"/>
            </w:pPr>
            <w:r/>
            <w:r>
              <w:rPr>
                <w:rFonts w:ascii="Times New Roman" w:hAnsi="Times New Roman"/>
                <w:b w:val="0"/>
                <w:i w:val="0"/>
                <w:color w:val="000000"/>
                <w:sz w:val="17"/>
              </w:rPr>
              <w:t>Mencapai Akurasi 99,30%, Precision 99,20%, Recall 99,40%, F1-Score 99,30%.</w:t>
            </w:r>
          </w:p>
        </w:tc>
        <w:tc>
          <w:tcPr>
            <w:tcW w:type="dxa" w:w="882"/>
            <w:vAlign w:val="top"/>
          </w:tcPr>
          <w:p>
            <w:pPr>
              <w:spacing w:before="40" w:after="40" w:line="252" w:lineRule="auto"/>
              <w:jc w:val="left"/>
            </w:pPr>
            <w:r/>
            <w:r>
              <w:rPr>
                <w:rFonts w:ascii="Times New Roman" w:hAnsi="Times New Roman"/>
                <w:b w:val="0"/>
                <w:i w:val="0"/>
                <w:color w:val="000000"/>
                <w:sz w:val="17"/>
              </w:rPr>
              <w:t>Diterapkan pada data laboratorium patologis onkologi dengan parameter fisik yang tidak dapat diubah (non-modifiable biological attributes); belum mengintegrasikan modul simulasi perubahan perilaku pasien.</w:t>
            </w:r>
          </w:p>
        </w:tc>
        <w:tc>
          <w:tcPr>
            <w:tcW w:type="dxa" w:w="882"/>
            <w:vAlign w:val="top"/>
          </w:tcPr>
          <w:p>
            <w:pPr>
              <w:spacing w:before="40" w:after="40" w:line="252" w:lineRule="auto"/>
              <w:jc w:val="left"/>
            </w:pPr>
            <w:r/>
            <w:r>
              <w:rPr>
                <w:rFonts w:ascii="Times New Roman" w:hAnsi="Times New Roman"/>
                <w:b w:val="0"/>
                <w:i w:val="0"/>
                <w:color w:val="000000"/>
                <w:sz w:val="17"/>
              </w:rPr>
              <w:t>Mengadaptasi metodologi CatBoost dan SHAP ke ranah metrik perilaku gaya hidup digital yang modifiable, memungkinkan pengguna menguji perubahan kebiasaan secara simulatif pada antarmuka CDSS.</w:t>
            </w:r>
          </w:p>
        </w:tc>
      </w:tr>
    </w:tbl>
    <w:p>
      <w:pPr>
        <w:spacing w:before="240" w:after="120" w:line="276" w:lineRule="auto"/>
        <w:jc w:val="left"/>
      </w:pPr>
      <w:r>
        <w:rPr>
          <w:rFonts w:ascii="Times New Roman" w:hAnsi="Times New Roman"/>
          <w:b/>
          <w:i w:val="0"/>
          <w:color w:val="000000"/>
          <w:sz w:val="24"/>
        </w:rPr>
        <w:t>2.3. Kerangka Berpikir (Conceptual Framework)</w:t>
      </w:r>
    </w:p>
    <w:p>
      <w:pPr>
        <w:spacing w:after="120" w:line="360" w:lineRule="auto"/>
        <w:ind w:firstLine="709"/>
        <w:jc w:val="both"/>
      </w:pPr>
      <w:r>
        <w:rPr>
          <w:rFonts w:ascii="Times New Roman" w:hAnsi="Times New Roman"/>
          <w:b w:val="0"/>
          <w:i w:val="0"/>
          <w:color w:val="000000"/>
          <w:sz w:val="24"/>
        </w:rPr>
        <w:t>Kerangka berpikir penelitian ini dibangun berdasarkan alur logis pemecahan masalah kesehatan tidur di era digital melalui pendekatan pembelajaran mesin yang akuntabel. Permasalahan utama diawali dari tingginya prevalensi gangguan tidur yang dipicu oleh pola kebiasaan harian modern, seperti tingginya paparan layar gawai menjelang tidur, beban stres profesional, serta pola istirahat yang tidak teratur. Upaya deteksi dini yang ada saat ini menghadapi dua kendala utama: ketergantungan pada prosedur klinis invasif yang mahal serta kecenderungan model kecerdasan buatan konvensional yang bekerja sebagai kotak hitam (black-box) tanpa transparansi alasan medis.</w:t>
      </w:r>
    </w:p>
    <w:p>
      <w:pPr>
        <w:spacing w:after="120" w:line="360" w:lineRule="auto"/>
        <w:ind w:firstLine="709"/>
        <w:jc w:val="both"/>
      </w:pPr>
      <w:r>
        <w:rPr>
          <w:rFonts w:ascii="Times New Roman" w:hAnsi="Times New Roman"/>
          <w:b w:val="0"/>
          <w:i w:val="0"/>
          <w:color w:val="000000"/>
          <w:sz w:val="24"/>
        </w:rPr>
        <w:t>Guna mengatasi permasalahan tersebut, kerangka penelitian ini mengintegrasikan data metrik gaya hidup digital berskala besar (100.000 rekaman data heterogen) ke dalam pipeline pemrosesan data mining CRISP-DM. Masalah ketidakseimbangan sebaran kelas target diatasi secara internal menggunakan pendekatan Cost-Sensitive Learning pembobotan penalti kelas terbalik, yang melatih algoritma CatBoost Classifier untuk mengenali pola pasien kelas minoritas berisiko tinggi (Severe) secara akurat tanpa merusak data asli melalui manipulasi oversampling. Algoritma CatBoost secara alami memproses atribut kategorikal melalui Ordered Target Statistics, sehingga menjaga keutuhan struktur matriks fitur.</w:t>
      </w:r>
    </w:p>
    <w:p>
      <w:pPr>
        <w:spacing w:after="120" w:line="360" w:lineRule="auto"/>
        <w:ind w:firstLine="709"/>
        <w:jc w:val="both"/>
      </w:pPr>
      <w:r>
        <w:rPr>
          <w:rFonts w:ascii="Times New Roman" w:hAnsi="Times New Roman"/>
          <w:b w:val="0"/>
          <w:i w:val="0"/>
          <w:color w:val="000000"/>
          <w:sz w:val="24"/>
        </w:rPr>
        <w:t>Pada tahap interpretabilitas, modul Tree-SHAP diterapkan untuk membongkar mekanisme pengambilan keputusan model. Prinsip teori permainan kooperatif menjamin bahwa setiap variabel masukan menerima skor atribusi kontribusi marjinal yang adil, konsisten, dan memenuhi aksioma efisiensi aditif lokal. Keluaran inferensi model CatBoost beserta visualisasi waterfall plot SHAP kemudian diintegrasikan ke dalam antarmuka purwarupa Clinical Decision Support System (CDSS) berbasis web interaktif. Sistem ini tidak hanya menyajikan tingkat risiko tidur seseorang, melainkan juga memvisualisasikan faktor pemicu dominan dan menghasilkan rekomendasi perbaikan pola hidup (sleep hygiene) yang terpersonalisasi.</w:t>
      </w:r>
    </w:p>
    <w:p>
      <w:pPr>
        <w:spacing w:before="240" w:after="120" w:line="276" w:lineRule="auto"/>
        <w:jc w:val="left"/>
      </w:pPr>
      <w:r>
        <w:rPr>
          <w:rFonts w:ascii="Times New Roman" w:hAnsi="Times New Roman"/>
          <w:b/>
          <w:i w:val="0"/>
          <w:color w:val="000000"/>
          <w:sz w:val="24"/>
        </w:rPr>
        <w:t>2.4. Pertanyaan Penelitian (Research Questions)</w:t>
      </w:r>
    </w:p>
    <w:p>
      <w:pPr>
        <w:spacing w:after="120" w:line="360" w:lineRule="auto"/>
        <w:ind w:firstLine="709"/>
        <w:jc w:val="both"/>
      </w:pPr>
      <w:r>
        <w:rPr>
          <w:rFonts w:ascii="Times New Roman" w:hAnsi="Times New Roman"/>
          <w:b w:val="0"/>
          <w:i w:val="0"/>
          <w:color w:val="000000"/>
          <w:sz w:val="24"/>
        </w:rPr>
        <w:t>Berdasarkan rumusan masalah dan kerangka berpikir yang telah dibangun, pertanyaan penelitian operasional yang akan dijawab dan dibuktikan secara empiris dalam penelitian ini adalah sebagai berikut:</w:t>
      </w:r>
    </w:p>
    <w:p>
      <w:pPr>
        <w:spacing w:line="360" w:lineRule="auto" w:after="80"/>
        <w:ind w:left="567" w:hanging="283"/>
      </w:pPr>
      <w:r>
        <w:rPr>
          <w:rFonts w:ascii="Times New Roman" w:hAnsi="Times New Roman"/>
          <w:b/>
          <w:i w:val="0"/>
          <w:color w:val="000000"/>
          <w:sz w:val="24"/>
        </w:rPr>
        <w:t xml:space="preserve">1. </w:t>
      </w:r>
      <w:r>
        <w:rPr>
          <w:rFonts w:ascii="Times New Roman" w:hAnsi="Times New Roman"/>
          <w:b w:val="0"/>
          <w:i w:val="0"/>
          <w:color w:val="000000"/>
          <w:sz w:val="24"/>
        </w:rPr>
        <w:t>Apakah penerapan algoritma CatBoost dengan mekanisme Ordered Target Statistics dan penanganan ketidakseimbangan kelas berbasis Cost-Sensitive Learning mampu menghasilkan performa klasifikasi multikelas yang unggul, khususnya dalam mencapai nilai Recall kelas minoritas Severe di atas 85% dan Macro F1-Score di atas 85%?</w:t>
      </w:r>
    </w:p>
    <w:p>
      <w:pPr>
        <w:spacing w:line="360" w:lineRule="auto" w:after="80"/>
        <w:ind w:left="567" w:hanging="283"/>
      </w:pPr>
      <w:r>
        <w:rPr>
          <w:rFonts w:ascii="Times New Roman" w:hAnsi="Times New Roman"/>
          <w:b/>
          <w:i w:val="0"/>
          <w:color w:val="000000"/>
          <w:sz w:val="24"/>
        </w:rPr>
        <w:t xml:space="preserve">2. </w:t>
      </w:r>
      <w:r>
        <w:rPr>
          <w:rFonts w:ascii="Times New Roman" w:hAnsi="Times New Roman"/>
          <w:b w:val="0"/>
          <w:i w:val="0"/>
          <w:color w:val="000000"/>
          <w:sz w:val="24"/>
        </w:rPr>
        <w:t>Bagaimana efektivitas metode XAI berbasis Tree-SHAP dalam mengidentifikasi dan memetakan variabel gaya hidup digital yang paling berkontribusi secara global pada tingkat populasi serta secara lokal pada tingkat individu tanpa kehilangan keutuhan semantik fitur?</w:t>
      </w:r>
    </w:p>
    <w:p>
      <w:pPr>
        <w:spacing w:line="360" w:lineRule="auto" w:after="120"/>
        <w:ind w:left="567" w:hanging="283"/>
      </w:pPr>
      <w:r>
        <w:rPr>
          <w:rFonts w:ascii="Times New Roman" w:hAnsi="Times New Roman"/>
          <w:b/>
          <w:i w:val="0"/>
          <w:color w:val="000000"/>
          <w:sz w:val="24"/>
        </w:rPr>
        <w:t xml:space="preserve">3. </w:t>
      </w:r>
      <w:r>
        <w:rPr>
          <w:rFonts w:ascii="Times New Roman" w:hAnsi="Times New Roman"/>
          <w:b w:val="0"/>
          <w:i w:val="0"/>
          <w:color w:val="000000"/>
          <w:sz w:val="24"/>
        </w:rPr>
        <w:t>Bagaimana purwarupa Clinical Decision Support System (CDSS) berbasis web yang dirancang mampu menyajikan visualisasi probabilitas prediksi risiko dan penjelasan faktor pemicu dominan secara intuitif guna mendukung pengambilan keputusan intervensi klinis?</w:t>
      </w:r>
    </w:p>
    <w:p>
      <w:pPr>
        <w:spacing w:before="240" w:after="120" w:line="276" w:lineRule="auto"/>
        <w:jc w:val="left"/>
      </w:pPr>
      <w:r>
        <w:rPr>
          <w:rFonts w:ascii="Times New Roman" w:hAnsi="Times New Roman"/>
          <w:b/>
          <w:i w:val="0"/>
          <w:color w:val="000000"/>
          <w:sz w:val="24"/>
        </w:rPr>
        <w:t>DAFTAR PUSTAKA BAB II</w:t>
      </w:r>
    </w:p>
    <w:p>
      <w:pPr>
        <w:spacing w:line="360" w:lineRule="auto" w:after="80"/>
        <w:ind w:left="567" w:hanging="567"/>
        <w:jc w:val="both"/>
      </w:pPr>
      <w:r>
        <w:rPr>
          <w:rFonts w:ascii="Times New Roman" w:hAnsi="Times New Roman"/>
          <w:b w:val="0"/>
          <w:i w:val="0"/>
          <w:color w:val="000000"/>
          <w:sz w:val="22"/>
        </w:rPr>
        <w:t>**Alqudah, A., et al. (2026)**. Interpretable ensemble learning for tumor-type prediction with a SHAP-based evaluation of CatBoost and voting classifiers. *Scientific Reports*, 16, 31079. https://doi.org/10.1038/s41598-025-31079-x</w:t>
        <w:br/>
      </w:r>
      <w:r>
        <w:rPr>
          <w:rFonts w:ascii="Times New Roman" w:hAnsi="Times New Roman"/>
          <w:b w:val="0"/>
          <w:i/>
          <w:color w:val="505050"/>
          <w:sz w:val="20"/>
        </w:rPr>
        <w:t>*[Status di Berkas: Tersedia di folder `jurnal/jurnal tambahan BAB2/`]*</w:t>
      </w:r>
    </w:p>
    <w:p>
      <w:pPr>
        <w:spacing w:line="360" w:lineRule="auto" w:after="80"/>
        <w:ind w:left="567" w:hanging="567"/>
        <w:jc w:val="both"/>
      </w:pPr>
      <w:r>
        <w:rPr>
          <w:rFonts w:ascii="Times New Roman" w:hAnsi="Times New Roman"/>
          <w:b w:val="0"/>
          <w:i w:val="0"/>
          <w:color w:val="000000"/>
          <w:sz w:val="22"/>
        </w:rPr>
        <w:t>**Amann, J., Blasimme, A., Vayena, E., Frey, D., &amp; Madai, V. I. (2020)**. Explainability for artificial intelligence in healthcare: a multidisciplinary perspective. *BMC Medical Informatics and Decision Making*, 20(1), 310. https://doi.org/10.1186/s12911-020-01332-6</w:t>
        <w:br/>
      </w:r>
      <w:r>
        <w:rPr>
          <w:rFonts w:ascii="Times New Roman" w:hAnsi="Times New Roman"/>
          <w:b w:val="0"/>
          <w:i/>
          <w:color w:val="505050"/>
          <w:sz w:val="20"/>
        </w:rPr>
        <w:t>*[Status di Berkas: Tersedia di folder `jurnal/jurnal_BAB1/s12911-020-01332-6.pdf`]*</w:t>
      </w:r>
    </w:p>
    <w:p>
      <w:pPr>
        <w:spacing w:line="360" w:lineRule="auto" w:after="80"/>
        <w:ind w:left="567" w:hanging="567"/>
        <w:jc w:val="both"/>
      </w:pPr>
      <w:r>
        <w:rPr>
          <w:rFonts w:ascii="Times New Roman" w:hAnsi="Times New Roman"/>
          <w:b w:val="0"/>
          <w:i w:val="0"/>
          <w:color w:val="000000"/>
          <w:sz w:val="22"/>
        </w:rPr>
        <w:t>**Bagus, A., et al. (2025)**. Predictive modeling approach for sleep disorder classification using lifestyle parameters. *Journal of Computational Analysis and Applications*, 33(4), 112–124.</w:t>
        <w:br/>
      </w:r>
      <w:r>
        <w:rPr>
          <w:rFonts w:ascii="Times New Roman" w:hAnsi="Times New Roman"/>
          <w:b w:val="0"/>
          <w:i/>
          <w:color w:val="505050"/>
          <w:sz w:val="20"/>
        </w:rPr>
        <w:t>*[Status di Berkas: Tersedia di folder `jurnal/jurnal_BAB1/B1+Predictive+Modeling+Approach+for+Sleep+Disorder.pdf`]*</w:t>
      </w:r>
    </w:p>
    <w:p>
      <w:pPr>
        <w:spacing w:line="360" w:lineRule="auto" w:after="80"/>
        <w:ind w:left="567" w:hanging="567"/>
        <w:jc w:val="both"/>
      </w:pPr>
      <w:r>
        <w:rPr>
          <w:rFonts w:ascii="Times New Roman" w:hAnsi="Times New Roman"/>
          <w:b w:val="0"/>
          <w:i w:val="0"/>
          <w:color w:val="000000"/>
          <w:sz w:val="22"/>
        </w:rPr>
        <w:t>**Chen, T., Guo, Q., Wang, H., Zhang, Q., Ding, C., Zhang, L., &amp; Wu, J. (2024)**. Identifying influencing factors associated with sleep quality in undergraduates based on partial least squares regression and XGBoost. *Frontiers in Public Health*, 12, 1373504. https://doi.org/10.3389/fpubh.2024.1373504</w:t>
        <w:br/>
      </w:r>
      <w:r>
        <w:rPr>
          <w:rFonts w:ascii="Times New Roman" w:hAnsi="Times New Roman"/>
          <w:b w:val="0"/>
          <w:i/>
          <w:color w:val="505050"/>
          <w:sz w:val="20"/>
        </w:rPr>
        <w:t>*[Status di Berkas: Rujukan SOTA Utama - Tersedia Dokumen Ringkasan]*</w:t>
      </w:r>
    </w:p>
    <w:p>
      <w:pPr>
        <w:spacing w:line="360" w:lineRule="auto" w:after="80"/>
        <w:ind w:left="567" w:hanging="567"/>
        <w:jc w:val="both"/>
      </w:pPr>
      <w:r>
        <w:rPr>
          <w:rFonts w:ascii="Times New Roman" w:hAnsi="Times New Roman"/>
          <w:b w:val="0"/>
          <w:i w:val="0"/>
          <w:color w:val="000000"/>
          <w:sz w:val="22"/>
        </w:rPr>
        <w:t>**Chen, X., et al. (2025)**. Development and validation of an explainable machine learning model for health risk screening. *Frontiers in Public Health*, 13, 1619406. https://doi.org/10.3389/fpubh.2025.1619406</w:t>
        <w:br/>
      </w:r>
      <w:r>
        <w:rPr>
          <w:rFonts w:ascii="Times New Roman" w:hAnsi="Times New Roman"/>
          <w:b w:val="0"/>
          <w:i/>
          <w:color w:val="505050"/>
          <w:sz w:val="20"/>
        </w:rPr>
        <w:t>*[Status di Berkas: Tersedia di folder `jurnal/jurnal_BAB1/fpubh-13-1619406.pdf`]*</w:t>
      </w:r>
    </w:p>
    <w:p>
      <w:pPr>
        <w:spacing w:line="360" w:lineRule="auto" w:after="80"/>
        <w:ind w:left="567" w:hanging="567"/>
        <w:jc w:val="both"/>
      </w:pPr>
      <w:r>
        <w:rPr>
          <w:rFonts w:ascii="Times New Roman" w:hAnsi="Times New Roman"/>
          <w:b w:val="0"/>
          <w:i w:val="0"/>
          <w:color w:val="000000"/>
          <w:sz w:val="22"/>
        </w:rPr>
        <w:t>**Chicco, D., &amp; Jurman, G. (2020)**. The advantages of the Matthews correlation coefficient (MCC) over F1 score and accuracy in binary classification evaluation. *BMC Genomics*, 21, 6. https://doi.org/10.1186/s12864-019-6413-7</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**Chicco, D., &amp; Jurman, G. (2022)**. An invitation to greater use of Matthews correlation coefficient in robotics and artificial intelligence. *Frontiers in Robotics and AI*, 9, 876814. https://doi.org/10.3389/frobt.2022.876814</w:t>
        <w:br/>
      </w:r>
      <w:r>
        <w:rPr>
          <w:rFonts w:ascii="Times New Roman" w:hAnsi="Times New Roman"/>
          <w:b w:val="0"/>
          <w:i/>
          <w:color w:val="505050"/>
          <w:sz w:val="20"/>
        </w:rPr>
        <w:t>*[Status di Berkas: Tersedia di folder `jurnal/Jurnal tambahan BAB 3/An Invitation to Greater Use of Matthews...pdf`]*</w:t>
      </w:r>
    </w:p>
    <w:p>
      <w:pPr>
        <w:spacing w:line="360" w:lineRule="auto" w:after="80"/>
        <w:ind w:left="567" w:hanging="567"/>
        <w:jc w:val="both"/>
      </w:pPr>
      <w:r>
        <w:rPr>
          <w:rFonts w:ascii="Times New Roman" w:hAnsi="Times New Roman"/>
          <w:b w:val="0"/>
          <w:i w:val="0"/>
          <w:color w:val="000000"/>
          <w:sz w:val="22"/>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br/>
      </w:r>
      <w:r>
        <w:rPr>
          <w:rFonts w:ascii="Times New Roman" w:hAnsi="Times New Roman"/>
          <w:b w:val="0"/>
          <w:i/>
          <w:color w:val="505050"/>
          <w:sz w:val="20"/>
        </w:rPr>
        <w:t>*[Status di Berkas: Tersedia di folder `jurnal/NSS-547335-prevalence-and-factors-associated-with-insomnia-among-chroni.pdf`]*</w:t>
      </w:r>
    </w:p>
    <w:p>
      <w:pPr>
        <w:spacing w:line="360" w:lineRule="auto" w:after="80"/>
        <w:ind w:left="567" w:hanging="567"/>
        <w:jc w:val="both"/>
      </w:pPr>
      <w:r>
        <w:rPr>
          <w:rFonts w:ascii="Times New Roman" w:hAnsi="Times New Roman"/>
          <w:b w:val="0"/>
          <w:i w:val="0"/>
          <w:color w:val="000000"/>
          <w:sz w:val="22"/>
        </w:rPr>
        <w:t>**El Chakik, A., Nakhal, B., &amp; Nassreddine, G. (2026)**. Explainable semi-supervised learning framework for Alzheimer’s disease prediction using SHAP-based feature selection and cost-sensitive CatBoost. *Sci*, 8(3), 171. https://doi.org/10.3390/sci8070171</w:t>
        <w:br/>
      </w:r>
      <w:r>
        <w:rPr>
          <w:rFonts w:ascii="Times New Roman" w:hAnsi="Times New Roman"/>
          <w:b w:val="0"/>
          <w:i/>
          <w:color w:val="505050"/>
          <w:sz w:val="20"/>
        </w:rPr>
        <w:t>*[Status di Berkas: Tersedia di folder `jurnal/Jurnal tambahan BAB 3/Explainable Semi-Supervised Learning Framework...pdf`]*</w:t>
      </w:r>
    </w:p>
    <w:p>
      <w:pPr>
        <w:spacing w:line="360" w:lineRule="auto" w:after="80"/>
        <w:ind w:left="567" w:hanging="567"/>
        <w:jc w:val="both"/>
      </w:pPr>
      <w:r>
        <w:rPr>
          <w:rFonts w:ascii="Times New Roman" w:hAnsi="Times New Roman"/>
          <w:b w:val="0"/>
          <w:i w:val="0"/>
          <w:color w:val="000000"/>
          <w:sz w:val="22"/>
        </w:rPr>
        <w:t>**Ha, S., Choi, S. J., Lee, S., Wijaya, R. H., Kim, J. H., Joo, E. Y., &amp; Kim, J. K. (2023)**. Predicting the risk of sleep disorders using a machine learning–based simple questionnaire: Development and validation study. *Journal of Medical Internet Research*, 25, e46520. https://doi.org/10.2196/46520</w:t>
        <w:br/>
      </w:r>
      <w:r>
        <w:rPr>
          <w:rFonts w:ascii="Times New Roman" w:hAnsi="Times New Roman"/>
          <w:b w:val="0"/>
          <w:i/>
          <w:color w:val="505050"/>
          <w:sz w:val="20"/>
        </w:rPr>
        <w:t>*[Status di Berkas: Tersedia di folder `jurnal/Predicting the Risk of Sleep Disorders Using a Machine.pdf`]*</w:t>
      </w:r>
    </w:p>
    <w:p>
      <w:pPr>
        <w:spacing w:line="360" w:lineRule="auto" w:after="80"/>
        <w:ind w:left="567" w:hanging="567"/>
        <w:jc w:val="both"/>
      </w:pPr>
      <w:r>
        <w:rPr>
          <w:rFonts w:ascii="Times New Roman" w:hAnsi="Times New Roman"/>
          <w:b w:val="0"/>
          <w:i w:val="0"/>
          <w:color w:val="000000"/>
          <w:sz w:val="22"/>
        </w:rPr>
        <w:t>**Hancock, J. T., &amp; Khoshgoftaar, T. M. (2020)**. CatBoost for big data: an interdisciplinary review. *Journal of Big Data*, 7(1), 94. https://doi.org/10.1186/s40537-020-00369-8</w:t>
        <w:br/>
      </w:r>
      <w:r>
        <w:rPr>
          <w:rFonts w:ascii="Times New Roman" w:hAnsi="Times New Roman"/>
          <w:b w:val="0"/>
          <w:i/>
          <w:color w:val="505050"/>
          <w:sz w:val="20"/>
        </w:rPr>
        <w:t>*[Status di Berkas: Tersedia di folder `jurnal/jurnal tambahan BAB2/CatBoost for big data an interdisciplinary review.pdf`]*</w:t>
      </w:r>
    </w:p>
    <w:p>
      <w:pPr>
        <w:spacing w:line="360" w:lineRule="auto" w:after="80"/>
        <w:ind w:left="567" w:hanging="567"/>
        <w:jc w:val="both"/>
      </w:pPr>
      <w:r>
        <w:rPr>
          <w:rFonts w:ascii="Times New Roman" w:hAnsi="Times New Roman"/>
          <w:b w:val="0"/>
          <w:i w:val="0"/>
          <w:color w:val="000000"/>
          <w:sz w:val="22"/>
        </w:rPr>
        <w:t>**Henrich, L. C., Antypa, N., &amp; Van den Berg, J. F. (2021)**. Sleep quality in students: Associations with psychological and lifestyle factors. *Current Psychology*, 41, 4221–4230. https://doi.org/10.1007/s12144-021-01801-9</w:t>
        <w:br/>
      </w:r>
      <w:r>
        <w:rPr>
          <w:rFonts w:ascii="Times New Roman" w:hAnsi="Times New Roman"/>
          <w:b w:val="0"/>
          <w:i/>
          <w:color w:val="505050"/>
          <w:sz w:val="20"/>
        </w:rPr>
        <w:t>*[Status di Berkas: Tersedia di folder `jurnal/jurnal_BAB1/s12144-021-01801-9.pdf`]*</w:t>
      </w:r>
    </w:p>
    <w:p>
      <w:pPr>
        <w:spacing w:line="360" w:lineRule="auto" w:after="80"/>
        <w:ind w:left="567" w:hanging="567"/>
        <w:jc w:val="both"/>
      </w:pPr>
      <w:r>
        <w:rPr>
          <w:rFonts w:ascii="Times New Roman" w:hAnsi="Times New Roman"/>
          <w:b w:val="0"/>
          <w:i w:val="0"/>
          <w:color w:val="000000"/>
          <w:sz w:val="22"/>
        </w:rPr>
        <w:t>**Huang, Y., et al. (2024)**. On the use of explainable AI for susceptibility modeling: Examining spatial pattern and feature contribution. *Geoscience Frontiers*, 15(4), 101800. https://doi.org/10.1016/j.gsf.2024.101800</w:t>
        <w:br/>
      </w:r>
      <w:r>
        <w:rPr>
          <w:rFonts w:ascii="Times New Roman" w:hAnsi="Times New Roman"/>
          <w:b w:val="0"/>
          <w:i/>
          <w:color w:val="505050"/>
          <w:sz w:val="20"/>
        </w:rPr>
        <w:t>*[Status di Berkas: Tersedia di folder `jurnal/XAI-SHAP.pdf`]*</w:t>
      </w:r>
    </w:p>
    <w:p>
      <w:pPr>
        <w:spacing w:line="360" w:lineRule="auto" w:after="80"/>
        <w:ind w:left="567" w:hanging="567"/>
        <w:jc w:val="both"/>
      </w:pPr>
      <w:r>
        <w:rPr>
          <w:rFonts w:ascii="Times New Roman" w:hAnsi="Times New Roman"/>
          <w:b w:val="0"/>
          <w:i w:val="0"/>
          <w:color w:val="000000"/>
          <w:sz w:val="22"/>
        </w:rPr>
        <w:t>**Jahrami, H. (2023)**. The relationship between Nomophobia, insomnia, Chronotype, phone in proximity, screen time, and sleep duration in adults: A cross-sectional study. *Healthcare*, 11(10), 1503. https://doi.org/10.3390/healthcare11101503</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**Kaya, C. (2025)**. Comparative analysis of conventional and ensemble machine learning techniques for sleep disorder classification. *Journal of Artificial Intelligence and Data Science (JAIDA)*, 5(2), 132–139.</w:t>
        <w:br/>
      </w:r>
      <w:r>
        <w:rPr>
          <w:rFonts w:ascii="Times New Roman" w:hAnsi="Times New Roman"/>
          <w:b w:val="0"/>
          <w:i/>
          <w:color w:val="505050"/>
          <w:sz w:val="20"/>
        </w:rPr>
        <w:t>*[Status di Berkas: Tersedia di folder `jurnal/jurnal_BAB1/Comparative Analysis of Conventional and Ensemble...pdf`]*</w:t>
      </w:r>
    </w:p>
    <w:p>
      <w:pPr>
        <w:spacing w:line="360" w:lineRule="auto" w:after="80"/>
        <w:ind w:left="567" w:hanging="567"/>
        <w:jc w:val="both"/>
      </w:pPr>
      <w:r>
        <w:rPr>
          <w:rFonts w:ascii="Times New Roman" w:hAnsi="Times New Roman"/>
          <w:b w:val="0"/>
          <w:i w:val="0"/>
          <w:color w:val="000000"/>
          <w:sz w:val="22"/>
        </w:rPr>
        <w:t>**Kumar, R., et al. (2025)**. Impact of excessive screen time on sleep quality and sleep duration among university students. *Journal of Pharmacy and Bioallied Sciences*, 17(2), 944. https://doi.org/10.4103/jpbs.jpbs_944_25</w:t>
        <w:br/>
      </w:r>
      <w:r>
        <w:rPr>
          <w:rFonts w:ascii="Times New Roman" w:hAnsi="Times New Roman"/>
          <w:b w:val="0"/>
          <w:i/>
          <w:color w:val="505050"/>
          <w:sz w:val="20"/>
        </w:rPr>
        <w:t>*[Status di Berkas: Tersedia di folder `jurnal/jurnal tambahan BAB2/impact-of-excessive-screen-time-on-sleep-quality-and-sleep.pdf`]*</w:t>
      </w:r>
    </w:p>
    <w:p>
      <w:pPr>
        <w:spacing w:line="360" w:lineRule="auto" w:after="80"/>
        <w:ind w:left="567" w:hanging="567"/>
        <w:jc w:val="both"/>
      </w:pPr>
      <w:r>
        <w:rPr>
          <w:rFonts w:ascii="Times New Roman" w:hAnsi="Times New Roman"/>
          <w:b w:val="0"/>
          <w:i w:val="0"/>
          <w:color w:val="000000"/>
          <w:sz w:val="22"/>
        </w:rPr>
        <w:t>**Li, X., et al. (2025)**. Exploring the complex associations between community public spaces and healthy aging: An explainable analysis using CatBoost and SHAP. *BMC Public Health*, 25, 23402. https://doi.org/10.1186/s12889-025-23402-y</w:t>
        <w:br/>
      </w:r>
      <w:r>
        <w:rPr>
          <w:rFonts w:ascii="Times New Roman" w:hAnsi="Times New Roman"/>
          <w:b w:val="0"/>
          <w:i/>
          <w:color w:val="505050"/>
          <w:sz w:val="20"/>
        </w:rPr>
        <w:t>*[Status di Berkas: Tersedia di folder `jurnal/jurnal tambahan BAB2/Exploring the complex associations...pdf`]*</w:t>
      </w:r>
    </w:p>
    <w:p>
      <w:pPr>
        <w:spacing w:line="360" w:lineRule="auto" w:after="80"/>
        <w:ind w:left="567" w:hanging="567"/>
        <w:jc w:val="both"/>
      </w:pPr>
      <w:r>
        <w:rPr>
          <w:rFonts w:ascii="Times New Roman" w:hAnsi="Times New Roman"/>
          <w:b w:val="0"/>
          <w:i w:val="0"/>
          <w:color w:val="000000"/>
          <w:sz w:val="22"/>
        </w:rPr>
        <w:t>**Lin, Y., Chen, X., Wang, J., Zhang, H., Liu, M., &amp; Wu, L. (2025)**. Evaluation of sleep quality and influencing factors among medical and non-medical students using machine learning techniques. *Frontiers in Psychiatry*, 16, 1533875. https://doi.org/10.3389/fpsyt.2025.1533875</w:t>
        <w:br/>
      </w:r>
      <w:r>
        <w:rPr>
          <w:rFonts w:ascii="Times New Roman" w:hAnsi="Times New Roman"/>
          <w:b w:val="0"/>
          <w:i/>
          <w:color w:val="505050"/>
          <w:sz w:val="20"/>
        </w:rPr>
        <w:t>*[Status di Berkas: Tersedia di folder `jurnal/MACHINELEARNING-SLEEPHEALTH.pdf`]*</w:t>
      </w:r>
    </w:p>
    <w:p>
      <w:pPr>
        <w:spacing w:line="360" w:lineRule="auto" w:after="80"/>
        <w:ind w:left="567" w:hanging="567"/>
        <w:jc w:val="both"/>
      </w:pPr>
      <w:r>
        <w:rPr>
          <w:rFonts w:ascii="Times New Roman" w:hAnsi="Times New Roman"/>
          <w:b w:val="0"/>
          <w:i w:val="0"/>
          <w:color w:val="000000"/>
          <w:sz w:val="22"/>
        </w:rPr>
        <w:t>**Loh, H. W., Ooi, C. P., Seoni, S., Barua, P. D., Molinari, F., &amp; Acharya, U. R. (2024)**. A review of Explainable Artificial Intelligence in healthcare: Concepts, algorithms, and applications. *Computers and Electrical Engineering*, 118, 109370. https://doi.org/10.1016/j.compeleceng.2024.109370</w:t>
        <w:br/>
      </w:r>
      <w:r>
        <w:rPr>
          <w:rFonts w:ascii="Times New Roman" w:hAnsi="Times New Roman"/>
          <w:b w:val="0"/>
          <w:i/>
          <w:color w:val="505050"/>
          <w:sz w:val="20"/>
        </w:rPr>
        <w:t>*[Status di Berkas: Tersedia di folder `jurnal/jurnal tambahan BAB2/A review of Explainable Artificial Intelligence in healthcare.pdf`]*</w:t>
      </w:r>
    </w:p>
    <w:p>
      <w:pPr>
        <w:spacing w:line="360" w:lineRule="auto" w:after="80"/>
        <w:ind w:left="567" w:hanging="567"/>
        <w:jc w:val="both"/>
      </w:pPr>
      <w:r>
        <w:rPr>
          <w:rFonts w:ascii="Times New Roman" w:hAnsi="Times New Roman"/>
          <w:b w:val="0"/>
          <w:i w:val="0"/>
          <w:color w:val="000000"/>
          <w:sz w:val="22"/>
        </w:rPr>
        <w:t>**Lundberg, S. M., &amp; Lee, S. I. (2017)**. A unified approach to interpreting model predictions. *Advances in Neural Information Processing Systems (NeurIPS)*, 30, 4765–4774. https://proceedings.neurips.cc/paper/2017/hash/8a20a8621978632d76c43dfd28b67767-Abstract.html</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**Lundberg, S. M., Erion, G. G., Chen, H., DeGrave, A. J., Prutkin, J. M., Nair, B., Katz, R., Himmelfarb, J., Bansal, N., &amp; Lee, S. I. (2020)**. From local explanations to global understanding with explainable AI for trees. *Nature Machine Intelligence*, 2(1), 56–67. https://doi.org/10.1038/s42256-019-0138-9</w:t>
        <w:br/>
      </w:r>
      <w:r>
        <w:rPr>
          <w:rFonts w:ascii="Times New Roman" w:hAnsi="Times New Roman"/>
          <w:b w:val="0"/>
          <w:i/>
          <w:color w:val="505050"/>
          <w:sz w:val="20"/>
        </w:rPr>
        <w:t>*[Status di Berkas: Tersedia di folder `jurnal/jurnal tambahan BAB2/From local explanations to global understanding...pdf`]*</w:t>
      </w:r>
    </w:p>
    <w:p>
      <w:pPr>
        <w:spacing w:line="360" w:lineRule="auto" w:after="80"/>
        <w:ind w:left="567" w:hanging="567"/>
        <w:jc w:val="both"/>
      </w:pPr>
      <w:r>
        <w:rPr>
          <w:rFonts w:ascii="Times New Roman" w:hAnsi="Times New Roman"/>
          <w:b w:val="0"/>
          <w:i w:val="0"/>
          <w:color w:val="000000"/>
          <w:sz w:val="22"/>
        </w:rPr>
        <w:t>**Medic, G., Wille, M., &amp; Hemels, M. E. (2017)**. Short- and long-term health consequences of sleep disruption. *Nature and Science of Sleep*, 9, 151–161. https://doi.org/10.2147/NSS.S134864</w:t>
        <w:br/>
      </w:r>
      <w:r>
        <w:rPr>
          <w:rFonts w:ascii="Times New Roman" w:hAnsi="Times New Roman"/>
          <w:b w:val="0"/>
          <w:i/>
          <w:color w:val="505050"/>
          <w:sz w:val="20"/>
        </w:rPr>
        <w:t>*[Status di Berkas: Tersedia di folder `jurnal/jurnal_BAB1/NSS-134864-short--and-long-term-health-consequences...pdf`]*</w:t>
      </w:r>
    </w:p>
    <w:p>
      <w:pPr>
        <w:spacing w:line="360" w:lineRule="auto" w:after="80"/>
        <w:ind w:left="567" w:hanging="567"/>
        <w:jc w:val="both"/>
      </w:pPr>
      <w:r>
        <w:rPr>
          <w:rFonts w:ascii="Times New Roman" w:hAnsi="Times New Roman"/>
          <w:b w:val="0"/>
          <w:i w:val="0"/>
          <w:color w:val="000000"/>
          <w:sz w:val="22"/>
        </w:rPr>
        <w:t>**Naga Srinivasu, P., et al. (2022)**. From Blackbox to Explainable AI in healthcare: Existing tools and case studies. *Mobile Information Systems*, 2022, 8167821. https://doi.org/10.1155/2022/8167821</w:t>
        <w:br/>
      </w:r>
      <w:r>
        <w:rPr>
          <w:rFonts w:ascii="Times New Roman" w:hAnsi="Times New Roman"/>
          <w:b w:val="0"/>
          <w:i/>
          <w:color w:val="505050"/>
          <w:sz w:val="20"/>
        </w:rPr>
        <w:t>*[Status di Berkas: Tersedia di folder `jurnal/XAI-health dataset(2).pdf`]*</w:t>
      </w:r>
    </w:p>
    <w:p>
      <w:pPr>
        <w:spacing w:line="360" w:lineRule="auto" w:after="80"/>
        <w:ind w:left="567" w:hanging="567"/>
        <w:jc w:val="both"/>
      </w:pPr>
      <w:r>
        <w:rPr>
          <w:rFonts w:ascii="Times New Roman" w:hAnsi="Times New Roman"/>
          <w:b w:val="0"/>
          <w:i w:val="0"/>
          <w:color w:val="000000"/>
          <w:sz w:val="22"/>
        </w:rPr>
        <w:t>**Prokhorenkova, L., Gusev, G., Vorobev, A., Dorogush, A. V., &amp; Gulin, A. (2018)**. CatBoost: unbiased boosting with categorical features. *Advances in Neural Information Processing Systems (NeurIPS)*, 31, 6638–6648. https://doi.org/10.48550/arXiv.1706.09516</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**Putra, J. L., &amp; Hidayat, W. F. (2024)**. Prediksi kualitas tidur: Pendekatan machine learning yang mengintegrasikan faktor kesehatan dan lingkungan. *Computer Science (CO-SCIENCE)*, 4(2), 157–162.</w:t>
        <w:br/>
      </w:r>
      <w:r>
        <w:rPr>
          <w:rFonts w:ascii="Times New Roman" w:hAnsi="Times New Roman"/>
          <w:b w:val="0"/>
          <w:i/>
          <w:color w:val="505050"/>
          <w:sz w:val="20"/>
        </w:rPr>
        <w:t>*[Status di Berkas: Tersedia di folder `jurnal/jurnal_BAB1/jordy_lp,+publish_Jordy+Lasmana+Putra_157-162.pdf`]*</w:t>
      </w:r>
    </w:p>
    <w:p>
      <w:pPr>
        <w:spacing w:line="360" w:lineRule="auto" w:after="80"/>
        <w:ind w:left="567" w:hanging="567"/>
        <w:jc w:val="both"/>
      </w:pPr>
      <w:r>
        <w:rPr>
          <w:rFonts w:ascii="Times New Roman" w:hAnsi="Times New Roman"/>
          <w:b w:val="0"/>
          <w:i w:val="0"/>
          <w:color w:val="000000"/>
          <w:sz w:val="22"/>
        </w:rPr>
        <w:t>**Rahman, M. A., et al. (2025)**. Improving sleep disorder diagnosis through optimized machine learning approaches. *IEEE Access*, 13, 22051–22070. https://doi.org/10.1109/ACCESS.2025.3535535</w:t>
        <w:br/>
      </w:r>
      <w:r>
        <w:rPr>
          <w:rFonts w:ascii="Times New Roman" w:hAnsi="Times New Roman"/>
          <w:b w:val="0"/>
          <w:i/>
          <w:color w:val="505050"/>
          <w:sz w:val="20"/>
        </w:rPr>
        <w:t>*[Status di Berkas: Tersedia di folder `jurnal/jurnal_BAB1/Improving_Sleep_Disorder_Diagnosis_Through_Optimized...pdf`]*</w:t>
      </w:r>
    </w:p>
    <w:p>
      <w:pPr>
        <w:spacing w:line="360" w:lineRule="auto" w:after="80"/>
        <w:ind w:left="567" w:hanging="567"/>
        <w:jc w:val="both"/>
      </w:pPr>
      <w:r>
        <w:rPr>
          <w:rFonts w:ascii="Times New Roman" w:hAnsi="Times New Roman"/>
          <w:b w:val="0"/>
          <w:i w:val="0"/>
          <w:color w:val="000000"/>
          <w:sz w:val="22"/>
        </w:rPr>
        <w:t>**Sari, M., &amp; Wardhana, A. (2025)**. Penerapan machine learning untuk analisis dan klasifikasi kesehatan tidur. *Jurnal Informatika dan Teknik Elektro Terapan (JITET)*, 13(3), 7281. https://doi.org/10.23960/jitet.v13i3.7281</w:t>
        <w:br/>
      </w:r>
      <w:r>
        <w:rPr>
          <w:rFonts w:ascii="Times New Roman" w:hAnsi="Times New Roman"/>
          <w:b w:val="0"/>
          <w:i/>
          <w:color w:val="505050"/>
          <w:sz w:val="20"/>
        </w:rPr>
        <w:t>*[Status di Berkas: Tersedia di folder `jurnal/jurnal_BAB1/7281-Article Text-16339-1-10-20250713.pdf`]*</w:t>
      </w:r>
    </w:p>
    <w:p>
      <w:pPr>
        <w:spacing w:line="360" w:lineRule="auto" w:after="80"/>
        <w:ind w:left="567" w:hanging="567"/>
        <w:jc w:val="both"/>
      </w:pPr>
      <w:r>
        <w:rPr>
          <w:rFonts w:ascii="Times New Roman" w:hAnsi="Times New Roman"/>
          <w:b w:val="0"/>
          <w:i w:val="0"/>
          <w:color w:val="000000"/>
          <w:sz w:val="22"/>
        </w:rPr>
        <w:t>**Srinivasu, P. N., Shafi, J., Arif, M., Debtera, B., &amp; Gudi, A. (2024)**. XAI-driven CatBoost multi-layer perceptron neural network for medical data analysis. *Scientific Reports*, 14, 28674. https://doi.org/10.1038/s41598-024-79620-8</w:t>
        <w:br/>
      </w:r>
      <w:r>
        <w:rPr>
          <w:rFonts w:ascii="Times New Roman" w:hAnsi="Times New Roman"/>
          <w:b w:val="0"/>
          <w:i/>
          <w:color w:val="505050"/>
          <w:sz w:val="20"/>
        </w:rPr>
        <w:t>*[Status di Berkas: Tersedia di folder `jurnal/jurnal tambahan BAB2/XAI-driven CatBoost multi-layer perceptron...pdf`]*</w:t>
      </w:r>
    </w:p>
    <w:p>
      <w:pPr>
        <w:spacing w:line="360" w:lineRule="auto" w:after="80"/>
        <w:ind w:left="567" w:hanging="567"/>
        <w:jc w:val="both"/>
      </w:pPr>
      <w:r>
        <w:rPr>
          <w:rFonts w:ascii="Times New Roman" w:hAnsi="Times New Roman"/>
          <w:b w:val="0"/>
          <w:i w:val="0"/>
          <w:color w:val="000000"/>
          <w:sz w:val="22"/>
        </w:rPr>
        <w:t>**Taher, A., &amp; Ayon, W. I. Z. (2024)**. Exploring sleep disorders: A comparative analysis of machine learning algorithms on sleep health and lifestyle data. *2024 IEEE PEEIACON*, 1–6. https://doi.org/10.1109/PEEIACON63765.2024.10844781</w:t>
        <w:br/>
      </w:r>
      <w:r>
        <w:rPr>
          <w:rFonts w:ascii="Times New Roman" w:hAnsi="Times New Roman"/>
          <w:b w:val="0"/>
          <w:i/>
          <w:color w:val="505050"/>
          <w:sz w:val="20"/>
        </w:rPr>
        <w:t>*[Status di Berkas: Tersedia di folder `jurnal/ExploringSleepDisordersAComparativeAnalysis...pdf`]*</w:t>
      </w:r>
    </w:p>
    <w:p>
      <w:pPr>
        <w:spacing w:line="360" w:lineRule="auto" w:after="80"/>
        <w:ind w:left="567" w:hanging="567"/>
        <w:jc w:val="both"/>
      </w:pPr>
      <w:r>
        <w:rPr>
          <w:rFonts w:ascii="Times New Roman" w:hAnsi="Times New Roman"/>
          <w:b w:val="0"/>
          <w:i w:val="0"/>
          <w:color w:val="000000"/>
          <w:sz w:val="22"/>
        </w:rPr>
        <w:t>**Uzubuaku, I. A. (2023)**. Sleep health as an economic asset: Evaluating roles of adequate sleep in global labor efficiency. *Multidisciplinary Innovations &amp; Research Analysis (MIRA)*, 4(4), 71–85.</w:t>
        <w:br/>
      </w:r>
      <w:r>
        <w:rPr>
          <w:rFonts w:ascii="Times New Roman" w:hAnsi="Times New Roman"/>
          <w:b w:val="0"/>
          <w:i/>
          <w:color w:val="505050"/>
          <w:sz w:val="20"/>
        </w:rPr>
        <w:t>*[Status di Berkas: Tersedia di folder `jurnal/jurnal_BAB1/MIRA+volume+4+issue+4+2023.pdf`]*</w:t>
      </w:r>
    </w:p>
    <w:p>
      <w:pPr>
        <w:spacing w:line="360" w:lineRule="auto" w:after="80"/>
        <w:ind w:left="567" w:hanging="567"/>
        <w:jc w:val="both"/>
      </w:pPr>
      <w:r>
        <w:rPr>
          <w:rFonts w:ascii="Times New Roman" w:hAnsi="Times New Roman"/>
          <w:b w:val="0"/>
          <w:i w:val="0"/>
          <w:color w:val="000000"/>
          <w:sz w:val="22"/>
        </w:rPr>
        <w:t>**Wahyudi, R., et al. (2026)**. Application of Explainable AI in Disease Prediction Models for Healthcare Decision Systems. *Journal of Sustainable Supply Chain and Technology*, 2(1), 45–58.</w:t>
        <w:br/>
      </w:r>
      <w:r>
        <w:rPr>
          <w:rFonts w:ascii="Times New Roman" w:hAnsi="Times New Roman"/>
          <w:b w:val="0"/>
          <w:i/>
          <w:color w:val="505050"/>
          <w:sz w:val="20"/>
        </w:rPr>
        <w:t>*[Status di Berkas: Tersedia di folder `jurnal/XAI-Prediksi penyakit jantung.pdf`]*</w:t>
      </w:r>
    </w:p>
    <w:p>
      <w:pPr>
        <w:spacing w:line="360" w:lineRule="auto" w:after="80"/>
        <w:ind w:left="567" w:hanging="567"/>
        <w:jc w:val="both"/>
      </w:pPr>
      <w:r>
        <w:rPr>
          <w:rFonts w:ascii="Times New Roman" w:hAnsi="Times New Roman"/>
          <w:b w:val="0"/>
          <w:i w:val="0"/>
          <w:color w:val="000000"/>
          <w:sz w:val="22"/>
        </w:rPr>
        <w:t>**Wang, Y., et al. (2025)**. Prediction of three-year all-cause mortality using the CatBoost model. *BMC Cardiovascular Disorders*, 25, 4928. https://doi.org/10.1186/s12872-025-04928-w</w:t>
        <w:br/>
      </w:r>
      <w:r>
        <w:rPr>
          <w:rFonts w:ascii="Times New Roman" w:hAnsi="Times New Roman"/>
          <w:b w:val="0"/>
          <w:i/>
          <w:color w:val="505050"/>
          <w:sz w:val="20"/>
        </w:rPr>
        <w:t>*[Status di Berkas: Tersedia di folder `jurnal/jurnal tambahan BAB2/Prediction of three-year all-cause mortality...pdf`]*</w:t>
      </w:r>
    </w:p>
    <w:p>
      <w:pPr>
        <w:spacing w:line="360" w:lineRule="auto" w:after="80"/>
        <w:ind w:left="567" w:hanging="567"/>
        <w:jc w:val="both"/>
      </w:pPr>
      <w:r>
        <w:rPr>
          <w:rFonts w:ascii="Times New Roman" w:hAnsi="Times New Roman"/>
          <w:b w:val="0"/>
          <w:i w:val="0"/>
          <w:color w:val="000000"/>
          <w:sz w:val="22"/>
        </w:rPr>
        <w:t>**Widayati, K. A. (2024)**. Technostress and sleep quality among university students. *Asian Journal of Social Health and Behavior*, 7(4), 197–205. https://doi.org/10.4103/shb.shb_177_24</w:t>
        <w:br/>
      </w:r>
      <w:r>
        <w:rPr>
          <w:rFonts w:ascii="Times New Roman" w:hAnsi="Times New Roman"/>
          <w:b w:val="0"/>
          <w:i/>
          <w:color w:val="505050"/>
          <w:sz w:val="20"/>
        </w:rPr>
        <w:t>*[Status di Berkas: Tersedia di folder `jurnal/jurnal tambahan BAB2/technostress-and-sleep-quality-among-university-students-in.pdf`]*</w:t>
      </w:r>
    </w:p>
    <w:p>
      <w:pPr>
        <w:spacing w:line="360" w:lineRule="auto" w:after="80"/>
        <w:ind w:left="567" w:hanging="567"/>
        <w:jc w:val="both"/>
      </w:pPr>
      <w:r>
        <w:rPr>
          <w:rFonts w:ascii="Times New Roman" w:hAnsi="Times New Roman"/>
          <w:b w:val="0"/>
          <w:i w:val="0"/>
          <w:color w:val="000000"/>
          <w:sz w:val="22"/>
        </w:rPr>
        <w:t>**Windred, D. P., Burns, A. C., Rutter, M. K., &amp; Phillips, A. J. K. (2024)**. Sleep regularity is a stronger predictor of mortality risk than sleep duration: A prospective cohort study. *Sleep*, 47(1), zsad253. https://doi.org/10.1093/sleep/zsad253</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**Zhang, L., et al. (2024)**. Explainable Artificial Intelligence in clinical radiology and diagnostic support. *European Journal of Radiology*, 174, 111403. https://doi.org/10.1016/j.ejrad.2024.111403</w:t>
        <w:br/>
      </w:r>
      <w:r>
        <w:rPr>
          <w:rFonts w:ascii="Times New Roman" w:hAnsi="Times New Roman"/>
          <w:b w:val="0"/>
          <w:i/>
          <w:color w:val="505050"/>
          <w:sz w:val="20"/>
        </w:rPr>
        <w:t>*[Status di Berkas: Tersedia di folder `jurnal/XAI-SHAP(2).pdf`]*</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