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center"/>
        <w:rPr/>
      </w:pPr>
      <w:r>
        <w:rPr/>
        <w:t>Cyber Security Assessment</w:t>
      </w:r>
    </w:p>
    <w:p>
      <w:pPr>
        <w:pStyle w:val="Subtitle"/>
        <w:jc w:val="center"/>
        <w:rPr/>
      </w:pPr>
      <w:r>
        <w:rPr/>
        <w:t>Workflow aggiornato del pacchetto ZBFOX — versione allineata alle modifiche tecniche e operative</w:t>
      </w:r>
    </w:p>
    <w:tbl>
      <w:tblPr>
        <w:tblW w:w="9648" w:type="dxa"/>
        <w:jc w:val="start"/>
        <w:tblInd w:w="0" w:type="dxa"/>
        <w:tblLayout w:type="fixed"/>
        <w:tblCellMar>
          <w:top w:w="0" w:type="dxa"/>
          <w:start w:w="108" w:type="dxa"/>
          <w:bottom w:w="0" w:type="dxa"/>
          <w:end w:w="108" w:type="dxa"/>
        </w:tblCellMar>
      </w:tblPr>
      <w:tblGrid>
        <w:gridCol w:w="9648"/>
      </w:tblGrid>
      <w:tr>
        <w:trPr/>
        <w:tc>
          <w:tcPr>
            <w:tcW w:w="9648" w:type="dxa"/>
            <w:tcBorders/>
            <w:shd w:fill="EAF2F8" w:val="clear"/>
          </w:tcPr>
          <w:p>
            <w:pPr>
              <w:pStyle w:val="Normal"/>
              <w:spacing w:before="0" w:after="0"/>
              <w:rPr>
                <w:b/>
                <w:color w:val="123456"/>
              </w:rPr>
            </w:pPr>
            <w:r>
              <w:rPr>
                <w:b/>
                <w:color w:val="123456"/>
              </w:rPr>
              <w:t>Nota di aggiornamento</w:t>
            </w:r>
          </w:p>
          <w:p>
            <w:pPr>
              <w:pStyle w:val="Normal"/>
              <w:spacing w:before="0" w:after="0"/>
              <w:rPr/>
            </w:pPr>
            <w:r>
              <w:rPr/>
              <w:t>Questo documento sostituisce il workflow iniziale nei punti in cui il modello operativo è stato corretto per riflettere il contesto reale delle PMI, la separazione completa del pacchetto ASSESS dal Cyber Snapshot e la nuova pipeline tecnica basata su moduli, normalizzazione dei dati e automazione progressiva.</w:t>
            </w:r>
          </w:p>
        </w:tc>
      </w:tr>
    </w:tbl>
    <w:p>
      <w:pPr>
        <w:pStyle w:val="Normal"/>
        <w:rPr/>
      </w:pPr>
      <w:r>
        <w:rPr/>
      </w:r>
    </w:p>
    <w:p>
      <w:pPr>
        <w:pStyle w:val="Heading1"/>
        <w:ind w:hanging="0" w:start="0"/>
        <w:rPr/>
      </w:pPr>
      <w:r>
        <w:rPr/>
        <w:t>1. Definizione aggiornata del pacchetto</w:t>
      </w:r>
    </w:p>
    <w:p>
      <w:pPr>
        <w:pStyle w:val="Normal"/>
        <w:rPr/>
      </w:pPr>
      <w:r>
        <w:rPr/>
        <w:t>Il Cyber Security Assessment è un servizio tecnico di analisi interna progettato per valutare il livello di esposizione, vulnerabilità e postura di sicurezza di un’infrastruttura aziendale a partire da un punto di accesso autorizzato alla rete locale.</w:t>
      </w:r>
    </w:p>
    <w:p>
      <w:pPr>
        <w:pStyle w:val="Normal"/>
        <w:rPr/>
      </w:pPr>
      <w:r>
        <w:rPr/>
        <w:t>A differenza del workflow iniziale, il pacchetto non assume più che il cliente conosca in anticipo subnet, segmenti, VLAN, apparati o servizi presenti. Nello scenario target — tipicamente PMI — il perimetro tecnico dettagliato emerge progressivamente dopo l’ingresso in LAN e viene ricostruito tramite discovery, enumerazione ed elaborazione strutturata degli output.</w:t>
      </w:r>
    </w:p>
    <w:p>
      <w:pPr>
        <w:pStyle w:val="Normal"/>
        <w:rPr/>
      </w:pPr>
      <w:r>
        <w:rPr/>
        <w:t>Il cuore del pacchetto resta il Vulnerability Assessment, ma il suo valore dipende dall’intera pipeline: ingresso in rete, ricostruzione del perimetro osservato, individuazione degli asset rilevanti, enumerazione tecnica, ingestione dei report VA, correlazione dei finding e generazione dei blocchi di report.</w:t>
      </w:r>
    </w:p>
    <w:p>
      <w:pPr>
        <w:pStyle w:val="Heading1"/>
        <w:ind w:hanging="0" w:start="0"/>
        <w:rPr/>
      </w:pPr>
      <w:r>
        <w:rPr/>
        <w:t>2. Correzioni principali rispetto al workflow precedente</w:t>
      </w:r>
    </w:p>
    <w:p>
      <w:pPr>
        <w:pStyle w:val="Heading2"/>
        <w:ind w:hanging="0" w:start="0"/>
        <w:rPr/>
      </w:pPr>
      <w:r>
        <w:rPr/>
        <w:t>Il pre-scoping tecnico viene ridotto.</w:t>
      </w:r>
    </w:p>
    <w:p>
      <w:pPr>
        <w:pStyle w:val="Normal"/>
        <w:rPr/>
      </w:pPr>
      <w:r>
        <w:rPr/>
        <w:t>La fase preliminare non richiede più al cliente un inventario di subnet o servizi. Restano invece fermi autorizzazione, ROE, privacy, finestra operativa ed eventuali esclusioni note.</w:t>
      </w:r>
    </w:p>
    <w:p>
      <w:pPr>
        <w:pStyle w:val="Heading2"/>
        <w:ind w:hanging="0" w:start="0"/>
        <w:rPr/>
      </w:pPr>
      <w:r>
        <w:rPr/>
        <w:t>La Fase 2 viene ripensata.</w:t>
      </w:r>
    </w:p>
    <w:p>
      <w:pPr>
        <w:pStyle w:val="Normal"/>
        <w:rPr/>
      </w:pPr>
      <w:r>
        <w:rPr/>
        <w:t>La discovery non inizia più come primo blocco del workflow. Prima esiste una fase autonoma di ingresso in LAN e posizionamento tecnico iniziale, utile a capire dove si trova il nodo ZBFOX, quale subnet ha ricevuto, quali route vede e quali primi host sono già osservabili.</w:t>
      </w:r>
    </w:p>
    <w:p>
      <w:pPr>
        <w:pStyle w:val="Heading2"/>
        <w:ind w:hanging="0" w:start="0"/>
        <w:rPr/>
      </w:pPr>
      <w:r>
        <w:rPr/>
        <w:t>Il perimetro reale viene ricostruito da ZBFOX.</w:t>
      </w:r>
    </w:p>
    <w:p>
      <w:pPr>
        <w:pStyle w:val="Normal"/>
        <w:rPr/>
      </w:pPr>
      <w:r>
        <w:rPr/>
        <w:t>Subnet, segmenti raggiungibili, host vivi, asset core e superfici amministrative non sono più assunti ex ante, ma derivano dagli output raccolti nelle fasi operative.</w:t>
      </w:r>
    </w:p>
    <w:p>
      <w:pPr>
        <w:pStyle w:val="Heading2"/>
        <w:ind w:hanging="0" w:start="0"/>
        <w:rPr/>
      </w:pPr>
      <w:r>
        <w:rPr/>
        <w:t>ASSESS diventa un pacchetto indipendente.</w:t>
      </w:r>
    </w:p>
    <w:p>
      <w:pPr>
        <w:pStyle w:val="Normal"/>
        <w:rPr/>
      </w:pPr>
      <w:r>
        <w:rPr/>
        <w:t>Non esiste più una logica derivata da SNAP-INT. Il pacchetto usa package code ASSESS, builder separato, engagement.yaml separato, runner separati e pipeline dedicata.</w:t>
      </w:r>
    </w:p>
    <w:p>
      <w:pPr>
        <w:pStyle w:val="Heading2"/>
        <w:ind w:hanging="0" w:start="0"/>
        <w:rPr/>
      </w:pPr>
      <w:r>
        <w:rPr/>
        <w:t>Il VA viene trattato come ingestione strutturata.</w:t>
      </w:r>
    </w:p>
    <w:p>
      <w:pPr>
        <w:pStyle w:val="Normal"/>
        <w:rPr/>
      </w:pPr>
      <w:r>
        <w:rPr/>
        <w:t>OpenVAS/Greenbone e Nessus restano supportati, ma i report vengono esportati manualmente in cartelle dedicate e poi parsati in uno schema normalizzato comune prima di entrare nella generazione automatica del report.</w:t>
      </w:r>
    </w:p>
    <w:p>
      <w:pPr>
        <w:pStyle w:val="Heading1"/>
        <w:ind w:hanging="0" w:start="0"/>
        <w:rPr/>
      </w:pPr>
      <w:r>
        <w:rPr/>
        <w:t>3. Posizionamento rispetto al Cyber Snapshot</w:t>
      </w:r>
    </w:p>
    <w:p>
      <w:pPr>
        <w:pStyle w:val="Normal"/>
        <w:rPr/>
      </w:pPr>
      <w:r>
        <w:rPr/>
        <w:t>I due pacchetti restano paralleli e coerenti nella filosofia, ma completamente indipendenti nell’implementazione.</w:t>
      </w:r>
    </w:p>
    <w:tbl>
      <w:tblPr>
        <w:tblW w:w="9936" w:type="dxa"/>
        <w:jc w:val="start"/>
        <w:tblInd w:w="-113" w:type="dxa"/>
        <w:tblLayout w:type="fixed"/>
        <w:tblCellMar>
          <w:top w:w="0" w:type="dxa"/>
          <w:start w:w="108" w:type="dxa"/>
          <w:bottom w:w="0" w:type="dxa"/>
          <w:end w:w="108" w:type="dxa"/>
        </w:tblCellMar>
      </w:tblPr>
      <w:tblGrid>
        <w:gridCol w:w="3312"/>
        <w:gridCol w:w="3312"/>
        <w:gridCol w:w="3312"/>
      </w:tblGrid>
      <w:tr>
        <w:trPr>
          <w:tblHeader w:val="true"/>
        </w:trPr>
        <w:tc>
          <w:tcPr>
            <w:tcW w:w="3312" w:type="dxa"/>
            <w:tcBorders>
              <w:top w:val="single" w:sz="4" w:space="0" w:color="000000"/>
              <w:start w:val="single" w:sz="4" w:space="0" w:color="000000"/>
              <w:bottom w:val="single" w:sz="4" w:space="0" w:color="000000"/>
              <w:end w:val="single" w:sz="4" w:space="0" w:color="000000"/>
            </w:tcBorders>
            <w:shd w:fill="D9EAF7" w:val="clear"/>
          </w:tcPr>
          <w:p>
            <w:pPr>
              <w:pStyle w:val="Normal"/>
              <w:widowControl/>
              <w:spacing w:before="0" w:after="120"/>
              <w:jc w:val="start"/>
              <w:rPr>
                <w:rFonts w:eastAsia="ＭＳ 明朝"/>
                <w:kern w:val="0"/>
                <w:szCs w:val="22"/>
                <w:lang w:val="en-US" w:eastAsia="en-US" w:bidi="ar-SA"/>
              </w:rPr>
            </w:pPr>
            <w:r>
              <w:rPr>
                <w:rFonts w:eastAsia="ＭＳ 明朝"/>
                <w:kern w:val="0"/>
                <w:szCs w:val="22"/>
                <w:lang w:val="en-US" w:eastAsia="en-US" w:bidi="ar-SA"/>
              </w:rPr>
              <w:t>Voce</w:t>
            </w:r>
          </w:p>
        </w:tc>
        <w:tc>
          <w:tcPr>
            <w:tcW w:w="3312" w:type="dxa"/>
            <w:tcBorders>
              <w:top w:val="single" w:sz="4" w:space="0" w:color="000000"/>
              <w:start w:val="single" w:sz="4" w:space="0" w:color="000000"/>
              <w:bottom w:val="single" w:sz="4" w:space="0" w:color="000000"/>
              <w:end w:val="single" w:sz="4" w:space="0" w:color="000000"/>
            </w:tcBorders>
            <w:shd w:fill="D9EAF7" w:val="clear"/>
          </w:tcPr>
          <w:p>
            <w:pPr>
              <w:pStyle w:val="Normal"/>
              <w:widowControl/>
              <w:spacing w:before="0" w:after="120"/>
              <w:jc w:val="start"/>
              <w:rPr>
                <w:rFonts w:eastAsia="ＭＳ 明朝"/>
                <w:kern w:val="0"/>
                <w:szCs w:val="22"/>
                <w:lang w:val="en-US" w:eastAsia="en-US" w:bidi="ar-SA"/>
              </w:rPr>
            </w:pPr>
            <w:r>
              <w:rPr>
                <w:rFonts w:eastAsia="ＭＳ 明朝"/>
                <w:kern w:val="0"/>
                <w:szCs w:val="22"/>
                <w:lang w:val="en-US" w:eastAsia="en-US" w:bidi="ar-SA"/>
              </w:rPr>
              <w:t>Cyber Snapshot</w:t>
            </w:r>
          </w:p>
        </w:tc>
        <w:tc>
          <w:tcPr>
            <w:tcW w:w="3312" w:type="dxa"/>
            <w:tcBorders>
              <w:top w:val="single" w:sz="4" w:space="0" w:color="000000"/>
              <w:start w:val="single" w:sz="4" w:space="0" w:color="000000"/>
              <w:bottom w:val="single" w:sz="4" w:space="0" w:color="000000"/>
              <w:end w:val="single" w:sz="4" w:space="0" w:color="000000"/>
            </w:tcBorders>
            <w:shd w:fill="D9EAF7" w:val="clear"/>
          </w:tcPr>
          <w:p>
            <w:pPr>
              <w:pStyle w:val="Normal"/>
              <w:widowControl/>
              <w:spacing w:before="0" w:after="120"/>
              <w:jc w:val="start"/>
              <w:rPr>
                <w:rFonts w:eastAsia="ＭＳ 明朝"/>
                <w:kern w:val="0"/>
                <w:szCs w:val="22"/>
                <w:lang w:val="en-US" w:eastAsia="en-US" w:bidi="ar-SA"/>
              </w:rPr>
            </w:pPr>
            <w:r>
              <w:rPr>
                <w:rFonts w:eastAsia="ＭＳ 明朝"/>
                <w:kern w:val="0"/>
                <w:szCs w:val="22"/>
                <w:lang w:val="en-US" w:eastAsia="en-US" w:bidi="ar-SA"/>
              </w:rPr>
              <w:t>Cyber Security Assessment</w:t>
            </w:r>
          </w:p>
        </w:tc>
      </w:tr>
      <w:tr>
        <w:trPr/>
        <w:tc>
          <w:tcPr>
            <w:tcW w:w="3312"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jc w:val="start"/>
              <w:rPr>
                <w:rFonts w:eastAsia="ＭＳ 明朝"/>
                <w:kern w:val="0"/>
                <w:szCs w:val="22"/>
                <w:lang w:val="en-US" w:eastAsia="en-US" w:bidi="ar-SA"/>
              </w:rPr>
            </w:pPr>
            <w:r>
              <w:rPr>
                <w:rFonts w:eastAsia="ＭＳ 明朝"/>
                <w:kern w:val="0"/>
                <w:szCs w:val="22"/>
                <w:lang w:val="en-US" w:eastAsia="en-US" w:bidi="ar-SA"/>
              </w:rPr>
              <w:t>Obiettivo</w:t>
            </w:r>
          </w:p>
        </w:tc>
        <w:tc>
          <w:tcPr>
            <w:tcW w:w="3312"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jc w:val="start"/>
              <w:rPr>
                <w:rFonts w:eastAsia="ＭＳ 明朝"/>
                <w:kern w:val="0"/>
                <w:szCs w:val="22"/>
                <w:lang w:val="en-US" w:eastAsia="en-US" w:bidi="ar-SA"/>
              </w:rPr>
            </w:pPr>
            <w:r>
              <w:rPr>
                <w:rFonts w:eastAsia="ＭＳ 明朝"/>
                <w:kern w:val="0"/>
                <w:szCs w:val="22"/>
                <w:lang w:val="en-US" w:eastAsia="en-US" w:bidi="ar-SA"/>
              </w:rPr>
              <w:t>Fotografia iniziale della superficie osservabile</w:t>
            </w:r>
          </w:p>
        </w:tc>
        <w:tc>
          <w:tcPr>
            <w:tcW w:w="3312"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jc w:val="start"/>
              <w:rPr>
                <w:rFonts w:eastAsia="ＭＳ 明朝"/>
                <w:kern w:val="0"/>
                <w:szCs w:val="22"/>
                <w:lang w:val="en-US" w:eastAsia="en-US" w:bidi="ar-SA"/>
              </w:rPr>
            </w:pPr>
            <w:r>
              <w:rPr>
                <w:rFonts w:eastAsia="ＭＳ 明朝"/>
                <w:kern w:val="0"/>
                <w:szCs w:val="22"/>
                <w:lang w:val="en-US" w:eastAsia="en-US" w:bidi="ar-SA"/>
              </w:rPr>
              <w:t>Valutazione tecnica interna di vulnerabilità e postura</w:t>
            </w:r>
          </w:p>
        </w:tc>
      </w:tr>
      <w:tr>
        <w:trPr/>
        <w:tc>
          <w:tcPr>
            <w:tcW w:w="3312"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jc w:val="start"/>
              <w:rPr>
                <w:rFonts w:eastAsia="ＭＳ 明朝"/>
                <w:kern w:val="0"/>
                <w:szCs w:val="22"/>
                <w:lang w:val="en-US" w:eastAsia="en-US" w:bidi="ar-SA"/>
              </w:rPr>
            </w:pPr>
            <w:r>
              <w:rPr>
                <w:rFonts w:eastAsia="ＭＳ 明朝"/>
                <w:kern w:val="0"/>
                <w:szCs w:val="22"/>
                <w:lang w:val="en-US" w:eastAsia="en-US" w:bidi="ar-SA"/>
              </w:rPr>
              <w:t>Punto di partenza</w:t>
            </w:r>
          </w:p>
        </w:tc>
        <w:tc>
          <w:tcPr>
            <w:tcW w:w="3312"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jc w:val="start"/>
              <w:rPr>
                <w:rFonts w:eastAsia="ＭＳ 明朝"/>
                <w:kern w:val="0"/>
                <w:szCs w:val="22"/>
                <w:lang w:val="en-US" w:eastAsia="en-US" w:bidi="ar-SA"/>
              </w:rPr>
            </w:pPr>
            <w:r>
              <w:rPr>
                <w:rFonts w:eastAsia="ＭＳ 明朝"/>
                <w:kern w:val="0"/>
                <w:szCs w:val="22"/>
                <w:lang w:val="en-US" w:eastAsia="en-US" w:bidi="ar-SA"/>
              </w:rPr>
              <w:t>Scope più dichiarato o ricostruito sul perimetro del pacchetto</w:t>
            </w:r>
          </w:p>
        </w:tc>
        <w:tc>
          <w:tcPr>
            <w:tcW w:w="3312"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jc w:val="start"/>
              <w:rPr>
                <w:rFonts w:eastAsia="ＭＳ 明朝"/>
                <w:kern w:val="0"/>
                <w:szCs w:val="22"/>
                <w:lang w:val="en-US" w:eastAsia="en-US" w:bidi="ar-SA"/>
              </w:rPr>
            </w:pPr>
            <w:r>
              <w:rPr>
                <w:rFonts w:eastAsia="ＭＳ 明朝"/>
                <w:kern w:val="0"/>
                <w:szCs w:val="22"/>
                <w:lang w:val="en-US" w:eastAsia="en-US" w:bidi="ar-SA"/>
              </w:rPr>
              <w:t>Ingresso in LAN e ricostruzione progressiva del perimetro reale</w:t>
            </w:r>
          </w:p>
        </w:tc>
      </w:tr>
      <w:tr>
        <w:trPr/>
        <w:tc>
          <w:tcPr>
            <w:tcW w:w="3312"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jc w:val="start"/>
              <w:rPr>
                <w:rFonts w:eastAsia="ＭＳ 明朝"/>
                <w:kern w:val="0"/>
                <w:szCs w:val="22"/>
                <w:lang w:val="en-US" w:eastAsia="en-US" w:bidi="ar-SA"/>
              </w:rPr>
            </w:pPr>
            <w:r>
              <w:rPr>
                <w:rFonts w:eastAsia="ＭＳ 明朝"/>
                <w:kern w:val="0"/>
                <w:szCs w:val="22"/>
                <w:lang w:val="en-US" w:eastAsia="en-US" w:bidi="ar-SA"/>
              </w:rPr>
              <w:t>Motore centrale</w:t>
            </w:r>
          </w:p>
        </w:tc>
        <w:tc>
          <w:tcPr>
            <w:tcW w:w="3312"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jc w:val="start"/>
              <w:rPr>
                <w:rFonts w:eastAsia="ＭＳ 明朝"/>
                <w:kern w:val="0"/>
                <w:szCs w:val="22"/>
                <w:lang w:val="en-US" w:eastAsia="en-US" w:bidi="ar-SA"/>
              </w:rPr>
            </w:pPr>
            <w:r>
              <w:rPr>
                <w:rFonts w:eastAsia="ＭＳ 明朝"/>
                <w:kern w:val="0"/>
                <w:szCs w:val="22"/>
                <w:lang w:val="en-US" w:eastAsia="en-US" w:bidi="ar-SA"/>
              </w:rPr>
              <w:t>Discovery e lettura dell’esposizione</w:t>
            </w:r>
          </w:p>
        </w:tc>
        <w:tc>
          <w:tcPr>
            <w:tcW w:w="3312"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jc w:val="start"/>
              <w:rPr>
                <w:rFonts w:eastAsia="ＭＳ 明朝"/>
                <w:kern w:val="0"/>
                <w:szCs w:val="22"/>
                <w:lang w:val="en-US" w:eastAsia="en-US" w:bidi="ar-SA"/>
              </w:rPr>
            </w:pPr>
            <w:r>
              <w:rPr>
                <w:rFonts w:eastAsia="ＭＳ 明朝"/>
                <w:kern w:val="0"/>
                <w:szCs w:val="22"/>
                <w:lang w:val="en-US" w:eastAsia="en-US" w:bidi="ar-SA"/>
              </w:rPr>
              <w:t>Discovery, enumerazione e Vulnerability Assessment</w:t>
            </w:r>
          </w:p>
        </w:tc>
      </w:tr>
      <w:tr>
        <w:trPr/>
        <w:tc>
          <w:tcPr>
            <w:tcW w:w="3312"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jc w:val="start"/>
              <w:rPr>
                <w:rFonts w:eastAsia="ＭＳ 明朝"/>
                <w:kern w:val="0"/>
                <w:szCs w:val="22"/>
                <w:lang w:val="en-US" w:eastAsia="en-US" w:bidi="ar-SA"/>
              </w:rPr>
            </w:pPr>
            <w:r>
              <w:rPr>
                <w:rFonts w:eastAsia="ＭＳ 明朝"/>
                <w:kern w:val="0"/>
                <w:szCs w:val="22"/>
                <w:lang w:val="en-US" w:eastAsia="en-US" w:bidi="ar-SA"/>
              </w:rPr>
              <w:t>Architettura</w:t>
            </w:r>
          </w:p>
        </w:tc>
        <w:tc>
          <w:tcPr>
            <w:tcW w:w="3312"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jc w:val="start"/>
              <w:rPr>
                <w:rFonts w:eastAsia="ＭＳ 明朝"/>
                <w:kern w:val="0"/>
                <w:szCs w:val="22"/>
                <w:lang w:val="en-US" w:eastAsia="en-US" w:bidi="ar-SA"/>
              </w:rPr>
            </w:pPr>
            <w:r>
              <w:rPr>
                <w:rFonts w:eastAsia="ＭＳ 明朝"/>
                <w:kern w:val="0"/>
                <w:szCs w:val="22"/>
                <w:lang w:val="en-US" w:eastAsia="en-US" w:bidi="ar-SA"/>
              </w:rPr>
              <w:t>Package autonomo Snapshot</w:t>
            </w:r>
          </w:p>
        </w:tc>
        <w:tc>
          <w:tcPr>
            <w:tcW w:w="3312"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jc w:val="start"/>
              <w:rPr>
                <w:rFonts w:eastAsia="ＭＳ 明朝"/>
                <w:kern w:val="0"/>
                <w:szCs w:val="22"/>
                <w:lang w:val="en-US" w:eastAsia="en-US" w:bidi="ar-SA"/>
              </w:rPr>
            </w:pPr>
            <w:r>
              <w:rPr>
                <w:rFonts w:eastAsia="ＭＳ 明朝"/>
                <w:kern w:val="0"/>
                <w:szCs w:val="22"/>
                <w:lang w:val="en-US" w:eastAsia="en-US" w:bidi="ar-SA"/>
              </w:rPr>
              <w:t>Package autonomo ASSESS, separato da Snapshot</w:t>
            </w:r>
          </w:p>
        </w:tc>
      </w:tr>
      <w:tr>
        <w:trPr/>
        <w:tc>
          <w:tcPr>
            <w:tcW w:w="3312"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jc w:val="start"/>
              <w:rPr>
                <w:rFonts w:eastAsia="ＭＳ 明朝"/>
                <w:kern w:val="0"/>
                <w:szCs w:val="22"/>
                <w:lang w:val="en-US" w:eastAsia="en-US" w:bidi="ar-SA"/>
              </w:rPr>
            </w:pPr>
            <w:r>
              <w:rPr>
                <w:rFonts w:eastAsia="ＭＳ 明朝"/>
                <w:kern w:val="0"/>
                <w:szCs w:val="22"/>
                <w:lang w:val="en-US" w:eastAsia="en-US" w:bidi="ar-SA"/>
              </w:rPr>
              <w:t>Automazione</w:t>
            </w:r>
          </w:p>
        </w:tc>
        <w:tc>
          <w:tcPr>
            <w:tcW w:w="3312"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jc w:val="start"/>
              <w:rPr>
                <w:rFonts w:eastAsia="ＭＳ 明朝"/>
                <w:kern w:val="0"/>
                <w:szCs w:val="22"/>
                <w:lang w:val="en-US" w:eastAsia="en-US" w:bidi="ar-SA"/>
              </w:rPr>
            </w:pPr>
            <w:r>
              <w:rPr>
                <w:rFonts w:eastAsia="ＭＳ 明朝"/>
                <w:kern w:val="0"/>
                <w:szCs w:val="22"/>
                <w:lang w:val="en-US" w:eastAsia="en-US" w:bidi="ar-SA"/>
              </w:rPr>
              <w:t>Builder e runner dedicati</w:t>
            </w:r>
          </w:p>
        </w:tc>
        <w:tc>
          <w:tcPr>
            <w:tcW w:w="3312"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jc w:val="start"/>
              <w:rPr>
                <w:rFonts w:eastAsia="ＭＳ 明朝"/>
                <w:kern w:val="0"/>
                <w:szCs w:val="22"/>
                <w:lang w:val="en-US" w:eastAsia="en-US" w:bidi="ar-SA"/>
              </w:rPr>
            </w:pPr>
            <w:r>
              <w:rPr>
                <w:rFonts w:eastAsia="ＭＳ 明朝"/>
                <w:kern w:val="0"/>
                <w:szCs w:val="22"/>
                <w:lang w:val="en-US" w:eastAsia="en-US" w:bidi="ar-SA"/>
              </w:rPr>
              <w:t>Builder e runner dedicati, con moduli tecnici di fase</w:t>
            </w:r>
          </w:p>
        </w:tc>
      </w:tr>
    </w:tbl>
    <w:p>
      <w:pPr>
        <w:pStyle w:val="Heading1"/>
        <w:ind w:hanging="0" w:start="0"/>
        <w:rPr/>
      </w:pPr>
      <w:r>
        <w:rPr/>
        <w:t>4. Workflow aggiornato</w:t>
      </w:r>
    </w:p>
    <w:p>
      <w:pPr>
        <w:pStyle w:val="Heading2"/>
        <w:ind w:hanging="0" w:start="0"/>
        <w:rPr/>
      </w:pPr>
      <w:r>
        <w:rPr/>
        <w:t>Fase 1 — Authorization, ROE e privacy</w:t>
      </w:r>
    </w:p>
    <w:p>
      <w:pPr>
        <w:pStyle w:val="Normal"/>
        <w:rPr/>
      </w:pPr>
      <w:r>
        <w:rPr/>
        <w:t>Definisce autorizzazione, limiti, regole operative, accettazione del servizio e clausole privacy/GDPR. È la sola fase formalmente documentale prima dell’ingresso in rete.</w:t>
      </w:r>
    </w:p>
    <w:p>
      <w:pPr>
        <w:pStyle w:val="Heading2"/>
        <w:ind w:hanging="0" w:start="0"/>
        <w:rPr/>
      </w:pPr>
      <w:r>
        <w:rPr/>
        <w:t>Fase 2 — LAN Entry &amp; Initial Technical Positioning</w:t>
      </w:r>
    </w:p>
    <w:p>
      <w:pPr>
        <w:pStyle w:val="Normal"/>
        <w:rPr/>
      </w:pPr>
      <w:r>
        <w:rPr/>
        <w:t>Posiziona il nodo ZBFOX nella LAN autorizzata, acquisisce IP, subnet, gateway, DNS, route, stato link e avvia un primo sweep tecnico del segmento locale. Questa fase oggi ha moduli dedicati, output raw, output normalizzati e criteri di uscita.</w:t>
      </w:r>
    </w:p>
    <w:p>
      <w:pPr>
        <w:pStyle w:val="Heading2"/>
        <w:ind w:hanging="0" w:start="0"/>
        <w:rPr/>
      </w:pPr>
      <w:r>
        <w:rPr/>
        <w:t>Fase 3 — Internal Discovery</w:t>
      </w:r>
    </w:p>
    <w:p>
      <w:pPr>
        <w:pStyle w:val="Normal"/>
        <w:rPr/>
      </w:pPr>
      <w:r>
        <w:rPr/>
        <w:t>Ricostruisce il perimetro osservato: host attivi, subnet raggiungibili, densità della rete, candidati infrastrutturali, segmenti remoti visibili e primi asset core.</w:t>
      </w:r>
    </w:p>
    <w:p>
      <w:pPr>
        <w:pStyle w:val="Heading2"/>
        <w:ind w:hanging="0" w:start="0"/>
        <w:rPr/>
      </w:pPr>
      <w:r>
        <w:rPr/>
        <w:t>Fase 4 — Technical Enumeration</w:t>
      </w:r>
    </w:p>
    <w:p>
      <w:pPr>
        <w:pStyle w:val="Normal"/>
        <w:rPr/>
      </w:pPr>
      <w:r>
        <w:rPr/>
        <w:t>Approfondisce porte, servizi, versioni, protocolli, superfici amministrative, pattern di naming e ruoli presunti degli asset. È la fase che trasforma la discovery in contesto tecnico strutturato.</w:t>
      </w:r>
    </w:p>
    <w:p>
      <w:pPr>
        <w:pStyle w:val="Heading2"/>
        <w:ind w:hanging="0" w:start="0"/>
        <w:rPr/>
      </w:pPr>
      <w:r>
        <w:rPr/>
        <w:t>Fase 5 — Vulnerability Assessment ingestion</w:t>
      </w:r>
    </w:p>
    <w:p>
      <w:pPr>
        <w:pStyle w:val="Normal"/>
        <w:rPr/>
      </w:pPr>
      <w:r>
        <w:rPr/>
        <w:t>I report VA esportati manualmente da Nessus o OpenVAS/Greenbone vengono raccolti in cartelle dedicate, parsati e normalizzati in dataset comuni (finding, asset, summary). La source of truth resta il file nativo esportato, non PDF o HTML.</w:t>
      </w:r>
    </w:p>
    <w:p>
      <w:pPr>
        <w:pStyle w:val="Heading2"/>
        <w:ind w:hanging="0" w:start="0"/>
        <w:rPr/>
      </w:pPr>
      <w:r>
        <w:rPr/>
        <w:t>Fase 6 — Correlation &amp; Risk Analysis</w:t>
      </w:r>
    </w:p>
    <w:p>
      <w:pPr>
        <w:pStyle w:val="Normal"/>
        <w:rPr/>
      </w:pPr>
      <w:r>
        <w:rPr/>
        <w:t>Unisce discovery, enumerazione e finding VA in una vista coerente. Riduce rumore, evidenzia ricorrenze, asset più fragili, pattern sistemici e priorità reali.</w:t>
      </w:r>
    </w:p>
    <w:p>
      <w:pPr>
        <w:pStyle w:val="Heading2"/>
        <w:ind w:hanging="0" w:start="0"/>
        <w:rPr/>
      </w:pPr>
      <w:r>
        <w:rPr/>
        <w:t>Fase 7 — Report block generation</w:t>
      </w:r>
    </w:p>
    <w:p>
      <w:pPr>
        <w:pStyle w:val="Normal"/>
        <w:rPr/>
      </w:pPr>
      <w:r>
        <w:rPr/>
        <w:t>Uno script dedicato produce i blocchi iniziali del report pescando da processed, raw, scope ed eventuali note manuali, in modo analogo a quanto già avviene nello Snapshot.</w:t>
      </w:r>
    </w:p>
    <w:p>
      <w:pPr>
        <w:pStyle w:val="Heading1"/>
        <w:ind w:hanging="0" w:start="0"/>
        <w:rPr/>
      </w:pPr>
      <w:r>
        <w:rPr/>
        <w:t>5. Architettura del pacchetto ASSESS</w:t>
      </w:r>
    </w:p>
    <w:p>
      <w:pPr>
        <w:pStyle w:val="Normal"/>
        <w:rPr/>
      </w:pPr>
      <w:r>
        <w:rPr/>
        <w:t>Il package code diventa ASSESS. Non esistono varianti ASSESS-INT o ASSESS-EXT. Il pacchetto è solo interno e possiede struttura, builder, runner e metadati separati dallo Snapshot.</w:t>
      </w:r>
    </w:p>
    <w:p>
      <w:pPr>
        <w:pStyle w:val="Heading2"/>
        <w:ind w:hanging="0" w:start="0"/>
        <w:rPr/>
      </w:pPr>
      <w:r>
        <w:rPr/>
        <w:t>Struttura logica suggerita dell’engagement</w:t>
      </w:r>
    </w:p>
    <w:p>
      <w:pPr>
        <w:pStyle w:val="Normal"/>
        <w:ind w:start="288"/>
        <w:rPr/>
      </w:pPr>
      <w:r>
        <w:rPr/>
        <w:t xml:space="preserve">• </w:t>
      </w:r>
      <w:r>
        <w:rPr/>
        <w:t>scope/  — metadati, engagement.yaml, access point, ipotesi iniziale di rete</w:t>
      </w:r>
    </w:p>
    <w:p>
      <w:pPr>
        <w:pStyle w:val="Normal"/>
        <w:ind w:start="288"/>
        <w:rPr/>
      </w:pPr>
      <w:r>
        <w:rPr/>
        <w:t xml:space="preserve">• </w:t>
      </w:r>
      <w:r>
        <w:rPr/>
        <w:t>notes/  — osservazioni, timeline, note per fase</w:t>
      </w:r>
    </w:p>
    <w:p>
      <w:pPr>
        <w:pStyle w:val="Normal"/>
        <w:ind w:start="288"/>
        <w:rPr/>
      </w:pPr>
      <w:r>
        <w:rPr/>
        <w:t xml:space="preserve">• </w:t>
      </w:r>
      <w:r>
        <w:rPr/>
        <w:t>raw/    — output grezzi organizzati per fase</w:t>
      </w:r>
    </w:p>
    <w:p>
      <w:pPr>
        <w:pStyle w:val="Normal"/>
        <w:ind w:start="288"/>
        <w:rPr/>
      </w:pPr>
      <w:r>
        <w:rPr/>
        <w:t xml:space="preserve">• </w:t>
      </w:r>
      <w:r>
        <w:rPr/>
        <w:t>processed/ — output normalizzati e dataset di lavoro</w:t>
      </w:r>
    </w:p>
    <w:p>
      <w:pPr>
        <w:pStyle w:val="Normal"/>
        <w:ind w:start="288"/>
        <w:rPr/>
      </w:pPr>
      <w:r>
        <w:rPr/>
        <w:t xml:space="preserve">• </w:t>
      </w:r>
      <w:r>
        <w:rPr/>
        <w:t>scans/   — eventuali risultati strutturati di scan e supporto tecnico</w:t>
      </w:r>
    </w:p>
    <w:p>
      <w:pPr>
        <w:pStyle w:val="Normal"/>
        <w:ind w:start="288"/>
        <w:rPr/>
      </w:pPr>
      <w:r>
        <w:rPr/>
        <w:t xml:space="preserve">• </w:t>
      </w:r>
      <w:r>
        <w:rPr/>
        <w:t>evidence/ — evidenze selezionate per il report</w:t>
      </w:r>
    </w:p>
    <w:p>
      <w:pPr>
        <w:pStyle w:val="Normal"/>
        <w:ind w:start="288"/>
        <w:rPr/>
      </w:pPr>
      <w:r>
        <w:rPr/>
        <w:t xml:space="preserve">• </w:t>
      </w:r>
      <w:r>
        <w:rPr/>
        <w:t>report/ — blocchi e draft di report</w:t>
      </w:r>
    </w:p>
    <w:p>
      <w:pPr>
        <w:pStyle w:val="Normal"/>
        <w:ind w:start="288"/>
        <w:rPr/>
      </w:pPr>
      <w:r>
        <w:rPr/>
        <w:t xml:space="preserve">• </w:t>
      </w:r>
      <w:r>
        <w:rPr/>
        <w:t>scripts/ — runner di fase, parser e generator</w:t>
      </w:r>
    </w:p>
    <w:p>
      <w:pPr>
        <w:pStyle w:val="Heading1"/>
        <w:ind w:hanging="0" w:start="0"/>
        <w:rPr/>
      </w:pPr>
      <w:r>
        <w:rPr/>
        <w:t>6. Fase 2: nuova impostazione modulare</w:t>
      </w:r>
    </w:p>
    <w:p>
      <w:pPr>
        <w:pStyle w:val="Normal"/>
        <w:rPr/>
      </w:pPr>
      <w:r>
        <w:rPr/>
        <w:t>La Fase 2 non è più descritta come semplice preparazione. È il primo blocco tecnico reale del pacchetto. Ogni modulo ha comandi ufficiali, file raw deterministici, campi da estrarre, dataset normalizzati, merge logic ed exit criteria.</w:t>
      </w:r>
    </w:p>
    <w:tbl>
      <w:tblPr>
        <w:tblW w:w="9936" w:type="dxa"/>
        <w:jc w:val="start"/>
        <w:tblInd w:w="-113" w:type="dxa"/>
        <w:tblLayout w:type="fixed"/>
        <w:tblCellMar>
          <w:top w:w="0" w:type="dxa"/>
          <w:start w:w="108" w:type="dxa"/>
          <w:bottom w:w="0" w:type="dxa"/>
          <w:end w:w="108" w:type="dxa"/>
        </w:tblCellMar>
      </w:tblPr>
      <w:tblGrid>
        <w:gridCol w:w="3312"/>
        <w:gridCol w:w="3312"/>
        <w:gridCol w:w="3312"/>
      </w:tblGrid>
      <w:tr>
        <w:trPr>
          <w:tblHeader w:val="true"/>
        </w:trPr>
        <w:tc>
          <w:tcPr>
            <w:tcW w:w="3312" w:type="dxa"/>
            <w:tcBorders>
              <w:top w:val="single" w:sz="4" w:space="0" w:color="000000"/>
              <w:start w:val="single" w:sz="4" w:space="0" w:color="000000"/>
              <w:bottom w:val="single" w:sz="4" w:space="0" w:color="000000"/>
              <w:end w:val="single" w:sz="4" w:space="0" w:color="000000"/>
            </w:tcBorders>
            <w:shd w:fill="D9EAF7" w:val="clear"/>
          </w:tcPr>
          <w:p>
            <w:pPr>
              <w:pStyle w:val="Normal"/>
              <w:widowControl/>
              <w:spacing w:before="0" w:after="120"/>
              <w:jc w:val="start"/>
              <w:rPr>
                <w:rFonts w:eastAsia="ＭＳ 明朝"/>
                <w:kern w:val="0"/>
                <w:szCs w:val="22"/>
                <w:lang w:val="en-US" w:eastAsia="en-US" w:bidi="ar-SA"/>
              </w:rPr>
            </w:pPr>
            <w:r>
              <w:rPr>
                <w:rFonts w:eastAsia="ＭＳ 明朝"/>
                <w:kern w:val="0"/>
                <w:szCs w:val="22"/>
                <w:lang w:val="en-US" w:eastAsia="en-US" w:bidi="ar-SA"/>
              </w:rPr>
              <w:t>Modulo</w:t>
            </w:r>
          </w:p>
        </w:tc>
        <w:tc>
          <w:tcPr>
            <w:tcW w:w="3312" w:type="dxa"/>
            <w:tcBorders>
              <w:top w:val="single" w:sz="4" w:space="0" w:color="000000"/>
              <w:start w:val="single" w:sz="4" w:space="0" w:color="000000"/>
              <w:bottom w:val="single" w:sz="4" w:space="0" w:color="000000"/>
              <w:end w:val="single" w:sz="4" w:space="0" w:color="000000"/>
            </w:tcBorders>
            <w:shd w:fill="D9EAF7" w:val="clear"/>
          </w:tcPr>
          <w:p>
            <w:pPr>
              <w:pStyle w:val="Normal"/>
              <w:widowControl/>
              <w:spacing w:before="0" w:after="120"/>
              <w:jc w:val="start"/>
              <w:rPr>
                <w:rFonts w:eastAsia="ＭＳ 明朝"/>
                <w:kern w:val="0"/>
                <w:szCs w:val="22"/>
                <w:lang w:val="en-US" w:eastAsia="en-US" w:bidi="ar-SA"/>
              </w:rPr>
            </w:pPr>
            <w:r>
              <w:rPr>
                <w:rFonts w:eastAsia="ＭＳ 明朝"/>
                <w:kern w:val="0"/>
                <w:szCs w:val="22"/>
                <w:lang w:val="en-US" w:eastAsia="en-US" w:bidi="ar-SA"/>
              </w:rPr>
              <w:t>Funzione</w:t>
            </w:r>
          </w:p>
        </w:tc>
        <w:tc>
          <w:tcPr>
            <w:tcW w:w="3312" w:type="dxa"/>
            <w:tcBorders>
              <w:top w:val="single" w:sz="4" w:space="0" w:color="000000"/>
              <w:start w:val="single" w:sz="4" w:space="0" w:color="000000"/>
              <w:bottom w:val="single" w:sz="4" w:space="0" w:color="000000"/>
              <w:end w:val="single" w:sz="4" w:space="0" w:color="000000"/>
            </w:tcBorders>
            <w:shd w:fill="D9EAF7" w:val="clear"/>
          </w:tcPr>
          <w:p>
            <w:pPr>
              <w:pStyle w:val="Normal"/>
              <w:widowControl/>
              <w:spacing w:before="0" w:after="120"/>
              <w:jc w:val="start"/>
              <w:rPr>
                <w:rFonts w:eastAsia="ＭＳ 明朝"/>
                <w:kern w:val="0"/>
                <w:szCs w:val="22"/>
                <w:lang w:val="en-US" w:eastAsia="en-US" w:bidi="ar-SA"/>
              </w:rPr>
            </w:pPr>
            <w:r>
              <w:rPr>
                <w:rFonts w:eastAsia="ＭＳ 明朝"/>
                <w:kern w:val="0"/>
                <w:szCs w:val="22"/>
                <w:lang w:val="en-US" w:eastAsia="en-US" w:bidi="ar-SA"/>
              </w:rPr>
              <w:t>Output principali</w:t>
            </w:r>
          </w:p>
        </w:tc>
      </w:tr>
      <w:tr>
        <w:trPr/>
        <w:tc>
          <w:tcPr>
            <w:tcW w:w="3312"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jc w:val="start"/>
              <w:rPr>
                <w:rFonts w:eastAsia="ＭＳ 明朝"/>
                <w:kern w:val="0"/>
                <w:szCs w:val="22"/>
                <w:lang w:val="en-US" w:eastAsia="en-US" w:bidi="ar-SA"/>
              </w:rPr>
            </w:pPr>
            <w:r>
              <w:rPr>
                <w:rFonts w:eastAsia="ＭＳ 明朝"/>
                <w:kern w:val="0"/>
                <w:szCs w:val="22"/>
                <w:lang w:val="en-US" w:eastAsia="en-US" w:bidi="ar-SA"/>
              </w:rPr>
              <w:t>MOD01 — Local Context</w:t>
            </w:r>
          </w:p>
        </w:tc>
        <w:tc>
          <w:tcPr>
            <w:tcW w:w="3312"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jc w:val="start"/>
              <w:rPr>
                <w:rFonts w:eastAsia="ＭＳ 明朝"/>
                <w:kern w:val="0"/>
                <w:szCs w:val="22"/>
                <w:lang w:val="en-US" w:eastAsia="en-US" w:bidi="ar-SA"/>
              </w:rPr>
            </w:pPr>
            <w:r>
              <w:rPr>
                <w:rFonts w:eastAsia="ＭＳ 明朝"/>
                <w:kern w:val="0"/>
                <w:szCs w:val="22"/>
                <w:lang w:val="en-US" w:eastAsia="en-US" w:bidi="ar-SA"/>
              </w:rPr>
              <w:t>Context acquisition e validazione interfaccia/link</w:t>
            </w:r>
          </w:p>
        </w:tc>
        <w:tc>
          <w:tcPr>
            <w:tcW w:w="3312"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jc w:val="start"/>
              <w:rPr>
                <w:rFonts w:eastAsia="ＭＳ 明朝"/>
                <w:kern w:val="0"/>
                <w:szCs w:val="22"/>
                <w:lang w:val="en-US" w:eastAsia="en-US" w:bidi="ar-SA"/>
              </w:rPr>
            </w:pPr>
            <w:r>
              <w:rPr>
                <w:rFonts w:eastAsia="ＭＳ 明朝"/>
                <w:kern w:val="0"/>
                <w:szCs w:val="22"/>
                <w:lang w:val="en-US" w:eastAsia="en-US" w:bidi="ar-SA"/>
              </w:rPr>
              <w:t>initial_access.json, interface_status.json, route_candidates.json</w:t>
            </w:r>
          </w:p>
        </w:tc>
      </w:tr>
      <w:tr>
        <w:trPr/>
        <w:tc>
          <w:tcPr>
            <w:tcW w:w="3312"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jc w:val="start"/>
              <w:rPr>
                <w:rFonts w:eastAsia="ＭＳ 明朝"/>
                <w:kern w:val="0"/>
                <w:szCs w:val="22"/>
                <w:lang w:val="en-US" w:eastAsia="en-US" w:bidi="ar-SA"/>
              </w:rPr>
            </w:pPr>
            <w:r>
              <w:rPr>
                <w:rFonts w:eastAsia="ＭＳ 明朝"/>
                <w:kern w:val="0"/>
                <w:szCs w:val="22"/>
                <w:lang w:val="en-US" w:eastAsia="en-US" w:bidi="ar-SA"/>
              </w:rPr>
              <w:t>MOD02 — L2 Sweep</w:t>
            </w:r>
          </w:p>
        </w:tc>
        <w:tc>
          <w:tcPr>
            <w:tcW w:w="3312"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jc w:val="start"/>
              <w:rPr>
                <w:rFonts w:eastAsia="ＭＳ 明朝"/>
                <w:kern w:val="0"/>
                <w:szCs w:val="22"/>
                <w:lang w:val="en-US" w:eastAsia="en-US" w:bidi="ar-SA"/>
              </w:rPr>
            </w:pPr>
            <w:r>
              <w:rPr>
                <w:rFonts w:eastAsia="ＭＳ 明朝"/>
                <w:kern w:val="0"/>
                <w:szCs w:val="22"/>
                <w:lang w:val="en-US" w:eastAsia="en-US" w:bidi="ar-SA"/>
              </w:rPr>
              <w:t>Host presenti sul broadcast domain, MAC, vendor, indizi infrastrutturali</w:t>
            </w:r>
          </w:p>
        </w:tc>
        <w:tc>
          <w:tcPr>
            <w:tcW w:w="3312"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jc w:val="start"/>
              <w:rPr>
                <w:rFonts w:eastAsia="ＭＳ 明朝"/>
                <w:kern w:val="0"/>
                <w:szCs w:val="22"/>
                <w:lang w:val="en-US" w:eastAsia="en-US" w:bidi="ar-SA"/>
              </w:rPr>
            </w:pPr>
            <w:r>
              <w:rPr>
                <w:rFonts w:eastAsia="ＭＳ 明朝"/>
                <w:kern w:val="0"/>
                <w:szCs w:val="22"/>
                <w:lang w:val="en-US" w:eastAsia="en-US" w:bidi="ar-SA"/>
              </w:rPr>
              <w:t>l2_hosts.csv, l2_summary.json, l2_infra_candidates.csv</w:t>
            </w:r>
          </w:p>
        </w:tc>
      </w:tr>
      <w:tr>
        <w:trPr/>
        <w:tc>
          <w:tcPr>
            <w:tcW w:w="3312"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jc w:val="start"/>
              <w:rPr>
                <w:rFonts w:eastAsia="ＭＳ 明朝"/>
                <w:kern w:val="0"/>
                <w:szCs w:val="22"/>
                <w:lang w:val="en-US" w:eastAsia="en-US" w:bidi="ar-SA"/>
              </w:rPr>
            </w:pPr>
            <w:r>
              <w:rPr>
                <w:rFonts w:eastAsia="ＭＳ 明朝"/>
                <w:kern w:val="0"/>
                <w:szCs w:val="22"/>
                <w:lang w:val="en-US" w:eastAsia="en-US" w:bidi="ar-SA"/>
              </w:rPr>
              <w:t>MOD03 — L3 Reachability</w:t>
            </w:r>
          </w:p>
        </w:tc>
        <w:tc>
          <w:tcPr>
            <w:tcW w:w="3312"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jc w:val="start"/>
              <w:rPr>
                <w:rFonts w:eastAsia="ＭＳ 明朝"/>
                <w:kern w:val="0"/>
                <w:szCs w:val="22"/>
                <w:lang w:val="en-US" w:eastAsia="en-US" w:bidi="ar-SA"/>
              </w:rPr>
            </w:pPr>
            <w:r>
              <w:rPr>
                <w:rFonts w:eastAsia="ＭＳ 明朝"/>
                <w:kern w:val="0"/>
                <w:szCs w:val="22"/>
                <w:lang w:val="en-US" w:eastAsia="en-US" w:bidi="ar-SA"/>
              </w:rPr>
              <w:t>Reachability subnet locale e segmenti remoti visti dal nodo</w:t>
            </w:r>
          </w:p>
        </w:tc>
        <w:tc>
          <w:tcPr>
            <w:tcW w:w="3312"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jc w:val="start"/>
              <w:rPr>
                <w:rFonts w:eastAsia="ＭＳ 明朝"/>
                <w:kern w:val="0"/>
                <w:szCs w:val="22"/>
                <w:lang w:val="en-US" w:eastAsia="en-US" w:bidi="ar-SA"/>
              </w:rPr>
            </w:pPr>
            <w:r>
              <w:rPr>
                <w:rFonts w:eastAsia="ＭＳ 明朝"/>
                <w:kern w:val="0"/>
                <w:szCs w:val="22"/>
                <w:lang w:val="en-US" w:eastAsia="en-US" w:bidi="ar-SA"/>
              </w:rPr>
              <w:t>live_hosts.csv, route_reachability.json</w:t>
            </w:r>
          </w:p>
        </w:tc>
      </w:tr>
      <w:tr>
        <w:trPr/>
        <w:tc>
          <w:tcPr>
            <w:tcW w:w="3312"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jc w:val="start"/>
              <w:rPr>
                <w:rFonts w:eastAsia="ＭＳ 明朝"/>
                <w:kern w:val="0"/>
                <w:szCs w:val="22"/>
                <w:lang w:val="en-US" w:eastAsia="en-US" w:bidi="ar-SA"/>
              </w:rPr>
            </w:pPr>
            <w:r>
              <w:rPr>
                <w:rFonts w:eastAsia="ＭＳ 明朝"/>
                <w:kern w:val="0"/>
                <w:szCs w:val="22"/>
                <w:lang w:val="en-US" w:eastAsia="en-US" w:bidi="ar-SA"/>
              </w:rPr>
              <w:t>MOD04 — Initial Service Exposure</w:t>
            </w:r>
          </w:p>
        </w:tc>
        <w:tc>
          <w:tcPr>
            <w:tcW w:w="3312"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jc w:val="start"/>
              <w:rPr>
                <w:rFonts w:eastAsia="ＭＳ 明朝"/>
                <w:kern w:val="0"/>
                <w:szCs w:val="22"/>
                <w:lang w:val="en-US" w:eastAsia="en-US" w:bidi="ar-SA"/>
              </w:rPr>
            </w:pPr>
            <w:r>
              <w:rPr>
                <w:rFonts w:eastAsia="ＭＳ 明朝"/>
                <w:kern w:val="0"/>
                <w:szCs w:val="22"/>
                <w:lang w:val="en-US" w:eastAsia="en-US" w:bidi="ar-SA"/>
              </w:rPr>
              <w:t>Top ports e primi servizi significativi sui target emersi</w:t>
            </w:r>
          </w:p>
        </w:tc>
        <w:tc>
          <w:tcPr>
            <w:tcW w:w="3312"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jc w:val="start"/>
              <w:rPr>
                <w:rFonts w:eastAsia="ＭＳ 明朝"/>
                <w:kern w:val="0"/>
                <w:szCs w:val="22"/>
                <w:lang w:val="en-US" w:eastAsia="en-US" w:bidi="ar-SA"/>
              </w:rPr>
            </w:pPr>
            <w:r>
              <w:rPr>
                <w:rFonts w:eastAsia="ＭＳ 明朝"/>
                <w:kern w:val="0"/>
                <w:szCs w:val="22"/>
                <w:lang w:val="en-US" w:eastAsia="en-US" w:bidi="ar-SA"/>
              </w:rPr>
              <w:t>services_top.csv, services_versioned.csv</w:t>
            </w:r>
          </w:p>
        </w:tc>
      </w:tr>
      <w:tr>
        <w:trPr/>
        <w:tc>
          <w:tcPr>
            <w:tcW w:w="3312"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jc w:val="start"/>
              <w:rPr>
                <w:rFonts w:eastAsia="ＭＳ 明朝"/>
                <w:kern w:val="0"/>
                <w:szCs w:val="22"/>
                <w:lang w:val="en-US" w:eastAsia="en-US" w:bidi="ar-SA"/>
              </w:rPr>
            </w:pPr>
            <w:r>
              <w:rPr>
                <w:rFonts w:eastAsia="ＭＳ 明朝"/>
                <w:kern w:val="0"/>
                <w:szCs w:val="22"/>
                <w:lang w:val="en-US" w:eastAsia="en-US" w:bidi="ar-SA"/>
              </w:rPr>
              <w:t>MOD05 — Core Asset Fingerprint</w:t>
            </w:r>
          </w:p>
        </w:tc>
        <w:tc>
          <w:tcPr>
            <w:tcW w:w="3312"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jc w:val="start"/>
              <w:rPr>
                <w:rFonts w:eastAsia="ＭＳ 明朝"/>
                <w:kern w:val="0"/>
                <w:szCs w:val="22"/>
                <w:lang w:val="en-US" w:eastAsia="en-US" w:bidi="ar-SA"/>
              </w:rPr>
            </w:pPr>
            <w:r>
              <w:rPr>
                <w:rFonts w:eastAsia="ＭＳ 明朝"/>
                <w:kern w:val="0"/>
                <w:szCs w:val="22"/>
                <w:lang w:val="en-US" w:eastAsia="en-US" w:bidi="ar-SA"/>
              </w:rPr>
              <w:t>Fingerprint più profondo su gateway, DNS, server o asset core</w:t>
            </w:r>
          </w:p>
        </w:tc>
        <w:tc>
          <w:tcPr>
            <w:tcW w:w="3312"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jc w:val="start"/>
              <w:rPr>
                <w:rFonts w:eastAsia="ＭＳ 明朝"/>
                <w:kern w:val="0"/>
                <w:szCs w:val="22"/>
                <w:lang w:val="en-US" w:eastAsia="en-US" w:bidi="ar-SA"/>
              </w:rPr>
            </w:pPr>
            <w:r>
              <w:rPr>
                <w:rFonts w:eastAsia="ＭＳ 明朝"/>
                <w:kern w:val="0"/>
                <w:szCs w:val="22"/>
                <w:lang w:val="en-US" w:eastAsia="en-US" w:bidi="ar-SA"/>
              </w:rPr>
              <w:t>core_asset_hints.csv, web_tls_hints.csv, os_hints.csv</w:t>
            </w:r>
          </w:p>
        </w:tc>
      </w:tr>
      <w:tr>
        <w:trPr/>
        <w:tc>
          <w:tcPr>
            <w:tcW w:w="3312"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jc w:val="start"/>
              <w:rPr>
                <w:rFonts w:eastAsia="ＭＳ 明朝"/>
                <w:kern w:val="0"/>
                <w:szCs w:val="22"/>
                <w:lang w:val="en-US" w:eastAsia="en-US" w:bidi="ar-SA"/>
              </w:rPr>
            </w:pPr>
            <w:r>
              <w:rPr>
                <w:rFonts w:eastAsia="ＭＳ 明朝"/>
                <w:kern w:val="0"/>
                <w:szCs w:val="22"/>
                <w:lang w:val="en-US" w:eastAsia="en-US" w:bidi="ar-SA"/>
              </w:rPr>
              <w:t>MOD06 — Passive Evidence</w:t>
            </w:r>
          </w:p>
        </w:tc>
        <w:tc>
          <w:tcPr>
            <w:tcW w:w="3312"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jc w:val="start"/>
              <w:rPr>
                <w:rFonts w:eastAsia="ＭＳ 明朝"/>
                <w:kern w:val="0"/>
                <w:szCs w:val="22"/>
                <w:lang w:val="en-US" w:eastAsia="en-US" w:bidi="ar-SA"/>
              </w:rPr>
            </w:pPr>
            <w:r>
              <w:rPr>
                <w:rFonts w:eastAsia="ＭＳ 明朝"/>
                <w:kern w:val="0"/>
                <w:szCs w:val="22"/>
                <w:lang w:val="en-US" w:eastAsia="en-US" w:bidi="ar-SA"/>
              </w:rPr>
              <w:t>Cattura passiva breve a supporto di naming e protocolli locali</w:t>
            </w:r>
          </w:p>
        </w:tc>
        <w:tc>
          <w:tcPr>
            <w:tcW w:w="3312"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jc w:val="start"/>
              <w:rPr>
                <w:rFonts w:eastAsia="ＭＳ 明朝"/>
                <w:kern w:val="0"/>
                <w:szCs w:val="22"/>
                <w:lang w:val="en-US" w:eastAsia="en-US" w:bidi="ar-SA"/>
              </w:rPr>
            </w:pPr>
            <w:r>
              <w:rPr>
                <w:rFonts w:eastAsia="ＭＳ 明朝"/>
                <w:kern w:val="0"/>
                <w:szCs w:val="22"/>
                <w:lang w:val="en-US" w:eastAsia="en-US" w:bidi="ar-SA"/>
              </w:rPr>
              <w:t>capture_notes.md, eventuali hint aggiuntivi</w:t>
            </w:r>
          </w:p>
        </w:tc>
      </w:tr>
    </w:tbl>
    <w:p>
      <w:pPr>
        <w:pStyle w:val="Heading1"/>
        <w:ind w:hanging="0" w:start="0"/>
        <w:rPr/>
      </w:pPr>
      <w:r>
        <w:rPr/>
        <w:t>7. Nuova gestione del Vulnerability Assessment</w:t>
      </w:r>
    </w:p>
    <w:p>
      <w:pPr>
        <w:pStyle w:val="Normal"/>
        <w:rPr/>
      </w:pPr>
      <w:r>
        <w:rPr/>
        <w:t>Il workflow aggiornato non presuppone più automazione diretta del motore VA. L’operatore esporta manualmente il report nativo dello scanner in una cartella dedicata dell’engagement. Questo semplifica la pipeline, mantiene il framework file-based e consente di rigenerare parsing e blocchi di report senza rilanciare le scansioni.</w:t>
      </w:r>
    </w:p>
    <w:p>
      <w:pPr>
        <w:pStyle w:val="Normal"/>
        <w:rPr/>
      </w:pPr>
      <w:r>
        <w:rPr/>
        <w:t xml:space="preserve">• </w:t>
      </w:r>
      <w:r>
        <w:rPr/>
        <w:t>Nessus: export del file .nessus.</w:t>
      </w:r>
    </w:p>
    <w:p>
      <w:pPr>
        <w:pStyle w:val="Normal"/>
        <w:rPr/>
      </w:pPr>
      <w:r>
        <w:rPr/>
        <w:t xml:space="preserve">• </w:t>
      </w:r>
      <w:r>
        <w:rPr/>
        <w:t>OpenVAS/Greenbone: export del report XML nativo.</w:t>
      </w:r>
    </w:p>
    <w:p>
      <w:pPr>
        <w:pStyle w:val="Normal"/>
        <w:rPr/>
      </w:pPr>
      <w:r>
        <w:rPr/>
        <w:t xml:space="preserve">• </w:t>
      </w:r>
      <w:r>
        <w:rPr/>
        <w:t>I file vengono salvati in raw/phase5/va_reports/, separati per engine.</w:t>
      </w:r>
    </w:p>
    <w:p>
      <w:pPr>
        <w:pStyle w:val="Normal"/>
        <w:rPr/>
      </w:pPr>
      <w:r>
        <w:rPr/>
        <w:t xml:space="preserve">• </w:t>
      </w:r>
      <w:r>
        <w:rPr/>
        <w:t>Uno script di parsing dedicato normalizza i dati in processed/phase5/.</w:t>
      </w:r>
    </w:p>
    <w:p>
      <w:pPr>
        <w:pStyle w:val="Normal"/>
        <w:rPr/>
      </w:pPr>
      <w:r>
        <w:rPr/>
        <w:t xml:space="preserve">• </w:t>
      </w:r>
      <w:r>
        <w:rPr/>
        <w:t>Uno script generate_assessment_report_blocks consuma poi i dataset normalizzati insieme alle altre evidenze raccolte.</w:t>
      </w:r>
    </w:p>
    <w:p>
      <w:pPr>
        <w:pStyle w:val="Heading2"/>
        <w:ind w:hanging="0" w:start="0"/>
        <w:rPr/>
      </w:pPr>
      <w:r>
        <w:rPr/>
        <w:t>Schema normalizzato minimo per i finding VA</w:t>
      </w:r>
    </w:p>
    <w:tbl>
      <w:tblPr>
        <w:tblW w:w="9936" w:type="dxa"/>
        <w:jc w:val="start"/>
        <w:tblInd w:w="-113" w:type="dxa"/>
        <w:tblLayout w:type="fixed"/>
        <w:tblCellMar>
          <w:top w:w="0" w:type="dxa"/>
          <w:start w:w="108" w:type="dxa"/>
          <w:bottom w:w="0" w:type="dxa"/>
          <w:end w:w="108" w:type="dxa"/>
        </w:tblCellMar>
      </w:tblPr>
      <w:tblGrid>
        <w:gridCol w:w="2484"/>
        <w:gridCol w:w="2484"/>
        <w:gridCol w:w="2484"/>
        <w:gridCol w:w="2484"/>
      </w:tblGrid>
      <w:tr>
        <w:trPr>
          <w:tblHeader w:val="true"/>
        </w:trPr>
        <w:tc>
          <w:tcPr>
            <w:tcW w:w="2484" w:type="dxa"/>
            <w:tcBorders>
              <w:top w:val="single" w:sz="4" w:space="0" w:color="000000"/>
              <w:start w:val="single" w:sz="4" w:space="0" w:color="000000"/>
              <w:bottom w:val="single" w:sz="4" w:space="0" w:color="000000"/>
              <w:end w:val="single" w:sz="4" w:space="0" w:color="000000"/>
            </w:tcBorders>
            <w:shd w:fill="D9EAF7" w:val="clear"/>
          </w:tcPr>
          <w:p>
            <w:pPr>
              <w:pStyle w:val="Normal"/>
              <w:widowControl/>
              <w:spacing w:before="0" w:after="120"/>
              <w:jc w:val="start"/>
              <w:rPr>
                <w:rFonts w:eastAsia="ＭＳ 明朝"/>
                <w:kern w:val="0"/>
                <w:szCs w:val="22"/>
                <w:lang w:val="en-US" w:eastAsia="en-US" w:bidi="ar-SA"/>
              </w:rPr>
            </w:pPr>
            <w:r>
              <w:rPr>
                <w:rFonts w:eastAsia="ＭＳ 明朝"/>
                <w:kern w:val="0"/>
                <w:szCs w:val="22"/>
                <w:lang w:val="en-US" w:eastAsia="en-US" w:bidi="ar-SA"/>
              </w:rPr>
              <w:t>Campo</w:t>
            </w:r>
          </w:p>
        </w:tc>
        <w:tc>
          <w:tcPr>
            <w:tcW w:w="2484" w:type="dxa"/>
            <w:tcBorders>
              <w:top w:val="single" w:sz="4" w:space="0" w:color="000000"/>
              <w:start w:val="single" w:sz="4" w:space="0" w:color="000000"/>
              <w:bottom w:val="single" w:sz="4" w:space="0" w:color="000000"/>
              <w:end w:val="single" w:sz="4" w:space="0" w:color="000000"/>
            </w:tcBorders>
            <w:shd w:fill="D9EAF7" w:val="clear"/>
          </w:tcPr>
          <w:p>
            <w:pPr>
              <w:pStyle w:val="Normal"/>
              <w:widowControl/>
              <w:spacing w:before="0" w:after="120"/>
              <w:jc w:val="start"/>
              <w:rPr>
                <w:rFonts w:eastAsia="ＭＳ 明朝"/>
                <w:kern w:val="0"/>
                <w:szCs w:val="22"/>
                <w:lang w:val="en-US" w:eastAsia="en-US" w:bidi="ar-SA"/>
              </w:rPr>
            </w:pPr>
            <w:r>
              <w:rPr>
                <w:rFonts w:eastAsia="ＭＳ 明朝"/>
                <w:kern w:val="0"/>
                <w:szCs w:val="22"/>
                <w:lang w:val="en-US" w:eastAsia="en-US" w:bidi="ar-SA"/>
              </w:rPr>
              <w:t>Descrizione</w:t>
            </w:r>
          </w:p>
        </w:tc>
        <w:tc>
          <w:tcPr>
            <w:tcW w:w="2484" w:type="dxa"/>
            <w:tcBorders>
              <w:top w:val="single" w:sz="4" w:space="0" w:color="000000"/>
              <w:start w:val="single" w:sz="4" w:space="0" w:color="000000"/>
              <w:bottom w:val="single" w:sz="4" w:space="0" w:color="000000"/>
              <w:end w:val="single" w:sz="4" w:space="0" w:color="000000"/>
            </w:tcBorders>
            <w:shd w:fill="D9EAF7" w:val="clear"/>
          </w:tcPr>
          <w:p>
            <w:pPr>
              <w:pStyle w:val="Normal"/>
              <w:widowControl/>
              <w:spacing w:before="0" w:after="120"/>
              <w:jc w:val="start"/>
              <w:rPr>
                <w:rFonts w:eastAsia="ＭＳ 明朝"/>
                <w:kern w:val="0"/>
                <w:szCs w:val="22"/>
                <w:lang w:val="en-US" w:eastAsia="en-US" w:bidi="ar-SA"/>
              </w:rPr>
            </w:pPr>
            <w:r>
              <w:rPr>
                <w:rFonts w:eastAsia="ＭＳ 明朝"/>
                <w:kern w:val="0"/>
                <w:szCs w:val="22"/>
                <w:lang w:val="en-US" w:eastAsia="en-US" w:bidi="ar-SA"/>
              </w:rPr>
              <w:t>Origine</w:t>
            </w:r>
          </w:p>
        </w:tc>
        <w:tc>
          <w:tcPr>
            <w:tcW w:w="2484" w:type="dxa"/>
            <w:tcBorders>
              <w:top w:val="single" w:sz="4" w:space="0" w:color="000000"/>
              <w:start w:val="single" w:sz="4" w:space="0" w:color="000000"/>
              <w:bottom w:val="single" w:sz="4" w:space="0" w:color="000000"/>
              <w:end w:val="single" w:sz="4" w:space="0" w:color="000000"/>
            </w:tcBorders>
            <w:shd w:fill="D9EAF7" w:val="clear"/>
          </w:tcPr>
          <w:p>
            <w:pPr>
              <w:pStyle w:val="Normal"/>
              <w:widowControl/>
              <w:spacing w:before="0" w:after="120"/>
              <w:jc w:val="start"/>
              <w:rPr>
                <w:rFonts w:eastAsia="ＭＳ 明朝"/>
                <w:kern w:val="0"/>
                <w:szCs w:val="22"/>
                <w:lang w:val="en-US" w:eastAsia="en-US" w:bidi="ar-SA"/>
              </w:rPr>
            </w:pPr>
            <w:r>
              <w:rPr>
                <w:rFonts w:eastAsia="ＭＳ 明朝"/>
                <w:kern w:val="0"/>
                <w:szCs w:val="22"/>
                <w:lang w:val="en-US" w:eastAsia="en-US" w:bidi="ar-SA"/>
              </w:rPr>
              <w:t>Note</w:t>
            </w:r>
          </w:p>
        </w:tc>
      </w:tr>
      <w:tr>
        <w:trPr/>
        <w:tc>
          <w:tcPr>
            <w:tcW w:w="2484"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jc w:val="start"/>
              <w:rPr>
                <w:rFonts w:eastAsia="ＭＳ 明朝"/>
                <w:kern w:val="0"/>
                <w:szCs w:val="22"/>
                <w:lang w:val="en-US" w:eastAsia="en-US" w:bidi="ar-SA"/>
              </w:rPr>
            </w:pPr>
            <w:r>
              <w:rPr>
                <w:rFonts w:eastAsia="ＭＳ 明朝"/>
                <w:kern w:val="0"/>
                <w:szCs w:val="22"/>
                <w:lang w:val="en-US" w:eastAsia="en-US" w:bidi="ar-SA"/>
              </w:rPr>
              <w:t>scanner</w:t>
            </w:r>
          </w:p>
        </w:tc>
        <w:tc>
          <w:tcPr>
            <w:tcW w:w="2484"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jc w:val="start"/>
              <w:rPr>
                <w:rFonts w:eastAsia="ＭＳ 明朝"/>
                <w:kern w:val="0"/>
                <w:szCs w:val="22"/>
                <w:lang w:val="en-US" w:eastAsia="en-US" w:bidi="ar-SA"/>
              </w:rPr>
            </w:pPr>
            <w:r>
              <w:rPr>
                <w:rFonts w:eastAsia="ＭＳ 明朝"/>
                <w:kern w:val="0"/>
                <w:szCs w:val="22"/>
                <w:lang w:val="en-US" w:eastAsia="en-US" w:bidi="ar-SA"/>
              </w:rPr>
              <w:t>Engine sorgente</w:t>
            </w:r>
          </w:p>
        </w:tc>
        <w:tc>
          <w:tcPr>
            <w:tcW w:w="2484"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jc w:val="start"/>
              <w:rPr>
                <w:rFonts w:eastAsia="ＭＳ 明朝"/>
                <w:kern w:val="0"/>
                <w:szCs w:val="22"/>
                <w:lang w:val="en-US" w:eastAsia="en-US" w:bidi="ar-SA"/>
              </w:rPr>
            </w:pPr>
            <w:r>
              <w:rPr>
                <w:rFonts w:eastAsia="ＭＳ 明朝"/>
                <w:kern w:val="0"/>
                <w:szCs w:val="22"/>
                <w:lang w:val="en-US" w:eastAsia="en-US" w:bidi="ar-SA"/>
              </w:rPr>
              <w:t>Nessus / OpenVAS</w:t>
            </w:r>
          </w:p>
        </w:tc>
        <w:tc>
          <w:tcPr>
            <w:tcW w:w="2484"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jc w:val="start"/>
              <w:rPr>
                <w:rFonts w:eastAsia="ＭＳ 明朝"/>
                <w:kern w:val="0"/>
                <w:szCs w:val="22"/>
                <w:lang w:val="en-US" w:eastAsia="en-US" w:bidi="ar-SA"/>
              </w:rPr>
            </w:pPr>
            <w:r>
              <w:rPr>
                <w:rFonts w:eastAsia="ＭＳ 明朝"/>
                <w:kern w:val="0"/>
                <w:szCs w:val="22"/>
                <w:lang w:val="en-US" w:eastAsia="en-US" w:bidi="ar-SA"/>
              </w:rPr>
              <w:t>Valore normalizzato</w:t>
            </w:r>
          </w:p>
        </w:tc>
      </w:tr>
      <w:tr>
        <w:trPr/>
        <w:tc>
          <w:tcPr>
            <w:tcW w:w="2484"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jc w:val="start"/>
              <w:rPr>
                <w:rFonts w:eastAsia="ＭＳ 明朝"/>
                <w:kern w:val="0"/>
                <w:szCs w:val="22"/>
                <w:lang w:val="en-US" w:eastAsia="en-US" w:bidi="ar-SA"/>
              </w:rPr>
            </w:pPr>
            <w:r>
              <w:rPr>
                <w:rFonts w:eastAsia="ＭＳ 明朝"/>
                <w:kern w:val="0"/>
                <w:szCs w:val="22"/>
                <w:lang w:val="en-US" w:eastAsia="en-US" w:bidi="ar-SA"/>
              </w:rPr>
              <w:t>asset_ip / asset_hostname</w:t>
            </w:r>
          </w:p>
        </w:tc>
        <w:tc>
          <w:tcPr>
            <w:tcW w:w="2484"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jc w:val="start"/>
              <w:rPr>
                <w:rFonts w:eastAsia="ＭＳ 明朝"/>
                <w:kern w:val="0"/>
                <w:szCs w:val="22"/>
                <w:lang w:val="en-US" w:eastAsia="en-US" w:bidi="ar-SA"/>
              </w:rPr>
            </w:pPr>
            <w:r>
              <w:rPr>
                <w:rFonts w:eastAsia="ＭＳ 明朝"/>
                <w:kern w:val="0"/>
                <w:szCs w:val="22"/>
                <w:lang w:val="en-US" w:eastAsia="en-US" w:bidi="ar-SA"/>
              </w:rPr>
              <w:t>Host del finding</w:t>
            </w:r>
          </w:p>
        </w:tc>
        <w:tc>
          <w:tcPr>
            <w:tcW w:w="2484"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jc w:val="start"/>
              <w:rPr>
                <w:rFonts w:eastAsia="ＭＳ 明朝"/>
                <w:kern w:val="0"/>
                <w:szCs w:val="22"/>
                <w:lang w:val="en-US" w:eastAsia="en-US" w:bidi="ar-SA"/>
              </w:rPr>
            </w:pPr>
            <w:r>
              <w:rPr>
                <w:rFonts w:eastAsia="ＭＳ 明朝"/>
                <w:kern w:val="0"/>
                <w:szCs w:val="22"/>
                <w:lang w:val="en-US" w:eastAsia="en-US" w:bidi="ar-SA"/>
              </w:rPr>
              <w:t>XML report</w:t>
            </w:r>
          </w:p>
        </w:tc>
        <w:tc>
          <w:tcPr>
            <w:tcW w:w="2484"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jc w:val="start"/>
              <w:rPr>
                <w:rFonts w:eastAsia="ＭＳ 明朝"/>
                <w:kern w:val="0"/>
                <w:szCs w:val="22"/>
                <w:lang w:val="en-US" w:eastAsia="en-US" w:bidi="ar-SA"/>
              </w:rPr>
            </w:pPr>
            <w:r>
              <w:rPr>
                <w:rFonts w:eastAsia="ＭＳ 明朝"/>
                <w:kern w:val="0"/>
                <w:szCs w:val="22"/>
                <w:lang w:val="en-US" w:eastAsia="en-US" w:bidi="ar-SA"/>
              </w:rPr>
              <w:t>Chiave tecnica primaria</w:t>
            </w:r>
          </w:p>
        </w:tc>
      </w:tr>
      <w:tr>
        <w:trPr/>
        <w:tc>
          <w:tcPr>
            <w:tcW w:w="2484"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jc w:val="start"/>
              <w:rPr>
                <w:rFonts w:eastAsia="ＭＳ 明朝"/>
                <w:kern w:val="0"/>
                <w:szCs w:val="22"/>
                <w:lang w:val="en-US" w:eastAsia="en-US" w:bidi="ar-SA"/>
              </w:rPr>
            </w:pPr>
            <w:r>
              <w:rPr>
                <w:rFonts w:eastAsia="ＭＳ 明朝"/>
                <w:kern w:val="0"/>
                <w:szCs w:val="22"/>
                <w:lang w:val="en-US" w:eastAsia="en-US" w:bidi="ar-SA"/>
              </w:rPr>
              <w:t>port / proto</w:t>
            </w:r>
          </w:p>
        </w:tc>
        <w:tc>
          <w:tcPr>
            <w:tcW w:w="2484"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jc w:val="start"/>
              <w:rPr>
                <w:rFonts w:eastAsia="ＭＳ 明朝"/>
                <w:kern w:val="0"/>
                <w:szCs w:val="22"/>
                <w:lang w:val="en-US" w:eastAsia="en-US" w:bidi="ar-SA"/>
              </w:rPr>
            </w:pPr>
            <w:r>
              <w:rPr>
                <w:rFonts w:eastAsia="ＭＳ 明朝"/>
                <w:kern w:val="0"/>
                <w:szCs w:val="22"/>
                <w:lang w:val="en-US" w:eastAsia="en-US" w:bidi="ar-SA"/>
              </w:rPr>
              <w:t>Porta e protocollo coinvolti</w:t>
            </w:r>
          </w:p>
        </w:tc>
        <w:tc>
          <w:tcPr>
            <w:tcW w:w="2484"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jc w:val="start"/>
              <w:rPr>
                <w:rFonts w:eastAsia="ＭＳ 明朝"/>
                <w:kern w:val="0"/>
                <w:szCs w:val="22"/>
                <w:lang w:val="en-US" w:eastAsia="en-US" w:bidi="ar-SA"/>
              </w:rPr>
            </w:pPr>
            <w:r>
              <w:rPr>
                <w:rFonts w:eastAsia="ＭＳ 明朝"/>
                <w:kern w:val="0"/>
                <w:szCs w:val="22"/>
                <w:lang w:val="en-US" w:eastAsia="en-US" w:bidi="ar-SA"/>
              </w:rPr>
              <w:t>XML report</w:t>
            </w:r>
          </w:p>
        </w:tc>
        <w:tc>
          <w:tcPr>
            <w:tcW w:w="2484"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jc w:val="start"/>
              <w:rPr>
                <w:rFonts w:eastAsia="ＭＳ 明朝"/>
                <w:kern w:val="0"/>
                <w:szCs w:val="22"/>
                <w:lang w:val="en-US" w:eastAsia="en-US" w:bidi="ar-SA"/>
              </w:rPr>
            </w:pPr>
            <w:r>
              <w:rPr>
                <w:rFonts w:eastAsia="ＭＳ 明朝"/>
                <w:kern w:val="0"/>
                <w:szCs w:val="22"/>
                <w:lang w:val="en-US" w:eastAsia="en-US" w:bidi="ar-SA"/>
              </w:rPr>
              <w:t>Vuoti se non applicabili</w:t>
            </w:r>
          </w:p>
        </w:tc>
      </w:tr>
      <w:tr>
        <w:trPr/>
        <w:tc>
          <w:tcPr>
            <w:tcW w:w="2484"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jc w:val="start"/>
              <w:rPr>
                <w:rFonts w:eastAsia="ＭＳ 明朝"/>
                <w:kern w:val="0"/>
                <w:szCs w:val="22"/>
                <w:lang w:val="en-US" w:eastAsia="en-US" w:bidi="ar-SA"/>
              </w:rPr>
            </w:pPr>
            <w:r>
              <w:rPr>
                <w:rFonts w:eastAsia="ＭＳ 明朝"/>
                <w:kern w:val="0"/>
                <w:szCs w:val="22"/>
                <w:lang w:val="en-US" w:eastAsia="en-US" w:bidi="ar-SA"/>
              </w:rPr>
              <w:t>plugin_id / plugin_name</w:t>
            </w:r>
          </w:p>
        </w:tc>
        <w:tc>
          <w:tcPr>
            <w:tcW w:w="2484"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jc w:val="start"/>
              <w:rPr>
                <w:rFonts w:eastAsia="ＭＳ 明朝"/>
                <w:kern w:val="0"/>
                <w:szCs w:val="22"/>
                <w:lang w:val="en-US" w:eastAsia="en-US" w:bidi="ar-SA"/>
              </w:rPr>
            </w:pPr>
            <w:r>
              <w:rPr>
                <w:rFonts w:eastAsia="ＭＳ 明朝"/>
                <w:kern w:val="0"/>
                <w:szCs w:val="22"/>
                <w:lang w:val="en-US" w:eastAsia="en-US" w:bidi="ar-SA"/>
              </w:rPr>
              <w:t>Identificativo e nome controllo</w:t>
            </w:r>
          </w:p>
        </w:tc>
        <w:tc>
          <w:tcPr>
            <w:tcW w:w="2484"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jc w:val="start"/>
              <w:rPr>
                <w:rFonts w:eastAsia="ＭＳ 明朝"/>
                <w:kern w:val="0"/>
                <w:szCs w:val="22"/>
                <w:lang w:val="en-US" w:eastAsia="en-US" w:bidi="ar-SA"/>
              </w:rPr>
            </w:pPr>
            <w:r>
              <w:rPr>
                <w:rFonts w:eastAsia="ＭＳ 明朝"/>
                <w:kern w:val="0"/>
                <w:szCs w:val="22"/>
                <w:lang w:val="en-US" w:eastAsia="en-US" w:bidi="ar-SA"/>
              </w:rPr>
              <w:t>XML report</w:t>
            </w:r>
          </w:p>
        </w:tc>
        <w:tc>
          <w:tcPr>
            <w:tcW w:w="2484"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jc w:val="start"/>
              <w:rPr>
                <w:rFonts w:eastAsia="ＭＳ 明朝"/>
                <w:kern w:val="0"/>
                <w:szCs w:val="22"/>
                <w:lang w:val="en-US" w:eastAsia="en-US" w:bidi="ar-SA"/>
              </w:rPr>
            </w:pPr>
            <w:r>
              <w:rPr>
                <w:rFonts w:eastAsia="ＭＳ 明朝"/>
                <w:kern w:val="0"/>
                <w:szCs w:val="22"/>
                <w:lang w:val="en-US" w:eastAsia="en-US" w:bidi="ar-SA"/>
              </w:rPr>
              <w:t>Mantenerli invariati</w:t>
            </w:r>
          </w:p>
        </w:tc>
      </w:tr>
      <w:tr>
        <w:trPr/>
        <w:tc>
          <w:tcPr>
            <w:tcW w:w="2484"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jc w:val="start"/>
              <w:rPr>
                <w:rFonts w:eastAsia="ＭＳ 明朝"/>
                <w:kern w:val="0"/>
                <w:szCs w:val="22"/>
                <w:lang w:val="en-US" w:eastAsia="en-US" w:bidi="ar-SA"/>
              </w:rPr>
            </w:pPr>
            <w:r>
              <w:rPr>
                <w:rFonts w:eastAsia="ＭＳ 明朝"/>
                <w:kern w:val="0"/>
                <w:szCs w:val="22"/>
                <w:lang w:val="en-US" w:eastAsia="en-US" w:bidi="ar-SA"/>
              </w:rPr>
              <w:t>severity_vendor / severity_norm</w:t>
            </w:r>
          </w:p>
        </w:tc>
        <w:tc>
          <w:tcPr>
            <w:tcW w:w="2484"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jc w:val="start"/>
              <w:rPr>
                <w:rFonts w:eastAsia="ＭＳ 明朝"/>
                <w:kern w:val="0"/>
                <w:szCs w:val="22"/>
                <w:lang w:val="en-US" w:eastAsia="en-US" w:bidi="ar-SA"/>
              </w:rPr>
            </w:pPr>
            <w:r>
              <w:rPr>
                <w:rFonts w:eastAsia="ＭＳ 明朝"/>
                <w:kern w:val="0"/>
                <w:szCs w:val="22"/>
                <w:lang w:val="en-US" w:eastAsia="en-US" w:bidi="ar-SA"/>
              </w:rPr>
              <w:t>Severità originale e severità normalizzata</w:t>
            </w:r>
          </w:p>
        </w:tc>
        <w:tc>
          <w:tcPr>
            <w:tcW w:w="2484"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jc w:val="start"/>
              <w:rPr>
                <w:rFonts w:eastAsia="ＭＳ 明朝"/>
                <w:kern w:val="0"/>
                <w:szCs w:val="22"/>
                <w:lang w:val="en-US" w:eastAsia="en-US" w:bidi="ar-SA"/>
              </w:rPr>
            </w:pPr>
            <w:r>
              <w:rPr>
                <w:rFonts w:eastAsia="ＭＳ 明朝"/>
                <w:kern w:val="0"/>
                <w:szCs w:val="22"/>
                <w:lang w:val="en-US" w:eastAsia="en-US" w:bidi="ar-SA"/>
              </w:rPr>
              <w:t>XML report + parser</w:t>
            </w:r>
          </w:p>
        </w:tc>
        <w:tc>
          <w:tcPr>
            <w:tcW w:w="2484"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jc w:val="start"/>
              <w:rPr>
                <w:rFonts w:eastAsia="ＭＳ 明朝"/>
                <w:kern w:val="0"/>
                <w:szCs w:val="22"/>
                <w:lang w:val="en-US" w:eastAsia="en-US" w:bidi="ar-SA"/>
              </w:rPr>
            </w:pPr>
            <w:r>
              <w:rPr>
                <w:rFonts w:eastAsia="ＭＳ 明朝"/>
                <w:kern w:val="0"/>
                <w:szCs w:val="22"/>
                <w:lang w:val="en-US" w:eastAsia="en-US" w:bidi="ar-SA"/>
              </w:rPr>
              <w:t>Consente confronto cross-engine</w:t>
            </w:r>
          </w:p>
        </w:tc>
      </w:tr>
      <w:tr>
        <w:trPr/>
        <w:tc>
          <w:tcPr>
            <w:tcW w:w="2484"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jc w:val="start"/>
              <w:rPr>
                <w:rFonts w:eastAsia="ＭＳ 明朝"/>
                <w:kern w:val="0"/>
                <w:szCs w:val="22"/>
                <w:lang w:val="en-US" w:eastAsia="en-US" w:bidi="ar-SA"/>
              </w:rPr>
            </w:pPr>
            <w:r>
              <w:rPr>
                <w:rFonts w:eastAsia="ＭＳ 明朝"/>
                <w:kern w:val="0"/>
                <w:szCs w:val="22"/>
                <w:lang w:val="en-US" w:eastAsia="en-US" w:bidi="ar-SA"/>
              </w:rPr>
              <w:t>cvss_v2 / cvss_v3 / cve_list</w:t>
            </w:r>
          </w:p>
        </w:tc>
        <w:tc>
          <w:tcPr>
            <w:tcW w:w="2484"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jc w:val="start"/>
              <w:rPr>
                <w:rFonts w:eastAsia="ＭＳ 明朝"/>
                <w:kern w:val="0"/>
                <w:szCs w:val="22"/>
                <w:lang w:val="en-US" w:eastAsia="en-US" w:bidi="ar-SA"/>
              </w:rPr>
            </w:pPr>
            <w:r>
              <w:rPr>
                <w:rFonts w:eastAsia="ＭＳ 明朝"/>
                <w:kern w:val="0"/>
                <w:szCs w:val="22"/>
                <w:lang w:val="en-US" w:eastAsia="en-US" w:bidi="ar-SA"/>
              </w:rPr>
              <w:t>Metriche e CVE correlate</w:t>
            </w:r>
          </w:p>
        </w:tc>
        <w:tc>
          <w:tcPr>
            <w:tcW w:w="2484"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jc w:val="start"/>
              <w:rPr>
                <w:rFonts w:eastAsia="ＭＳ 明朝"/>
                <w:kern w:val="0"/>
                <w:szCs w:val="22"/>
                <w:lang w:val="en-US" w:eastAsia="en-US" w:bidi="ar-SA"/>
              </w:rPr>
            </w:pPr>
            <w:r>
              <w:rPr>
                <w:rFonts w:eastAsia="ＭＳ 明朝"/>
                <w:kern w:val="0"/>
                <w:szCs w:val="22"/>
                <w:lang w:val="en-US" w:eastAsia="en-US" w:bidi="ar-SA"/>
              </w:rPr>
              <w:t>XML report</w:t>
            </w:r>
          </w:p>
        </w:tc>
        <w:tc>
          <w:tcPr>
            <w:tcW w:w="2484"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jc w:val="start"/>
              <w:rPr>
                <w:rFonts w:eastAsia="ＭＳ 明朝"/>
                <w:kern w:val="0"/>
                <w:szCs w:val="22"/>
                <w:lang w:val="en-US" w:eastAsia="en-US" w:bidi="ar-SA"/>
              </w:rPr>
            </w:pPr>
            <w:r>
              <w:rPr>
                <w:rFonts w:eastAsia="ＭＳ 明朝"/>
                <w:kern w:val="0"/>
                <w:szCs w:val="22"/>
                <w:lang w:val="en-US" w:eastAsia="en-US" w:bidi="ar-SA"/>
              </w:rPr>
              <w:t>Non usare PDF come fonte</w:t>
            </w:r>
          </w:p>
        </w:tc>
      </w:tr>
      <w:tr>
        <w:trPr/>
        <w:tc>
          <w:tcPr>
            <w:tcW w:w="2484"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jc w:val="start"/>
              <w:rPr>
                <w:rFonts w:eastAsia="ＭＳ 明朝"/>
                <w:kern w:val="0"/>
                <w:szCs w:val="22"/>
                <w:lang w:val="en-US" w:eastAsia="en-US" w:bidi="ar-SA"/>
              </w:rPr>
            </w:pPr>
            <w:r>
              <w:rPr>
                <w:rFonts w:eastAsia="ＭＳ 明朝"/>
                <w:kern w:val="0"/>
                <w:szCs w:val="22"/>
                <w:lang w:val="en-US" w:eastAsia="en-US" w:bidi="ar-SA"/>
              </w:rPr>
              <w:t>solution / synopsis / description / evidence</w:t>
            </w:r>
          </w:p>
        </w:tc>
        <w:tc>
          <w:tcPr>
            <w:tcW w:w="2484"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jc w:val="start"/>
              <w:rPr>
                <w:rFonts w:eastAsia="ＭＳ 明朝"/>
                <w:kern w:val="0"/>
                <w:szCs w:val="22"/>
                <w:lang w:val="en-US" w:eastAsia="en-US" w:bidi="ar-SA"/>
              </w:rPr>
            </w:pPr>
            <w:r>
              <w:rPr>
                <w:rFonts w:eastAsia="ＭＳ 明朝"/>
                <w:kern w:val="0"/>
                <w:szCs w:val="22"/>
                <w:lang w:val="en-US" w:eastAsia="en-US" w:bidi="ar-SA"/>
              </w:rPr>
              <w:t>Testo del finding</w:t>
            </w:r>
          </w:p>
        </w:tc>
        <w:tc>
          <w:tcPr>
            <w:tcW w:w="2484"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jc w:val="start"/>
              <w:rPr>
                <w:rFonts w:eastAsia="ＭＳ 明朝"/>
                <w:kern w:val="0"/>
                <w:szCs w:val="22"/>
                <w:lang w:val="en-US" w:eastAsia="en-US" w:bidi="ar-SA"/>
              </w:rPr>
            </w:pPr>
            <w:r>
              <w:rPr>
                <w:rFonts w:eastAsia="ＭＳ 明朝"/>
                <w:kern w:val="0"/>
                <w:szCs w:val="22"/>
                <w:lang w:val="en-US" w:eastAsia="en-US" w:bidi="ar-SA"/>
              </w:rPr>
              <w:t>XML report</w:t>
            </w:r>
          </w:p>
        </w:tc>
        <w:tc>
          <w:tcPr>
            <w:tcW w:w="2484"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jc w:val="start"/>
              <w:rPr>
                <w:rFonts w:eastAsia="ＭＳ 明朝"/>
                <w:kern w:val="0"/>
                <w:szCs w:val="22"/>
                <w:lang w:val="en-US" w:eastAsia="en-US" w:bidi="ar-SA"/>
              </w:rPr>
            </w:pPr>
            <w:r>
              <w:rPr>
                <w:rFonts w:eastAsia="ＭＳ 明朝"/>
                <w:kern w:val="0"/>
                <w:szCs w:val="22"/>
                <w:lang w:val="en-US" w:eastAsia="en-US" w:bidi="ar-SA"/>
              </w:rPr>
              <w:t>Da pulire e normalizzare, non da riscrivere a mano</w:t>
            </w:r>
          </w:p>
        </w:tc>
      </w:tr>
    </w:tbl>
    <w:p>
      <w:pPr>
        <w:pStyle w:val="Heading1"/>
        <w:ind w:hanging="0" w:start="0"/>
        <w:rPr/>
      </w:pPr>
      <w:r>
        <w:rPr/>
        <w:t>8. Filosofia di implementazione tecnica</w:t>
      </w:r>
    </w:p>
    <w:p>
      <w:pPr>
        <w:pStyle w:val="Normal"/>
        <w:rPr/>
      </w:pPr>
      <w:r>
        <w:rPr/>
        <w:t xml:space="preserve">• </w:t>
      </w:r>
      <w:r>
        <w:rPr/>
        <w:t>Prima si mette su carta ogni comando, ogni file raw, ogni campo da estrarre e ogni output normalizzato.</w:t>
      </w:r>
    </w:p>
    <w:p>
      <w:pPr>
        <w:pStyle w:val="Normal"/>
        <w:rPr/>
      </w:pPr>
      <w:r>
        <w:rPr/>
        <w:t xml:space="preserve">• </w:t>
      </w:r>
      <w:r>
        <w:rPr/>
        <w:t>Solo dopo si implementano builder, runner, parser e generator.</w:t>
      </w:r>
    </w:p>
    <w:p>
      <w:pPr>
        <w:pStyle w:val="Normal"/>
        <w:rPr/>
      </w:pPr>
      <w:r>
        <w:rPr/>
        <w:t xml:space="preserve">• </w:t>
      </w:r>
      <w:r>
        <w:rPr/>
        <w:t>Ogni fase deve essere scriptabile senza reingegnerizzare naming, path o merge logic.</w:t>
      </w:r>
    </w:p>
    <w:p>
      <w:pPr>
        <w:pStyle w:val="Normal"/>
        <w:rPr/>
      </w:pPr>
      <w:r>
        <w:rPr/>
        <w:t xml:space="preserve">• </w:t>
      </w:r>
      <w:r>
        <w:rPr/>
        <w:t>La pipeline deve restare deterministica: stessi input, stessi percorsi, stessi dataset, stessi report blocks.</w:t>
      </w:r>
    </w:p>
    <w:p>
      <w:pPr>
        <w:pStyle w:val="Normal"/>
        <w:rPr/>
      </w:pPr>
      <w:r>
        <w:rPr/>
        <w:t xml:space="preserve">• </w:t>
      </w:r>
      <w:r>
        <w:rPr/>
        <w:t>Il linguaggio aziendale e i documenti cliente arrivano solo dopo aver testato e automatizzato il motore tecnico.</w:t>
      </w:r>
    </w:p>
    <w:p>
      <w:pPr>
        <w:pStyle w:val="Heading1"/>
        <w:ind w:hanging="0" w:start="0"/>
        <w:rPr/>
      </w:pPr>
      <w:r>
        <w:rPr/>
        <w:t>9. Nuova formula di sintesi del workflow</w:t>
      </w:r>
    </w:p>
    <w:p>
      <w:pPr>
        <w:pStyle w:val="Normal"/>
        <w:rPr/>
      </w:pPr>
      <w:r>
        <w:rPr/>
        <w:t>Il Cyber Security Assessment non viene più descritto come una semplice sequenza discovery → enumerazione → VA. Il modello aggiornato è: autorizzazione → ingresso in LAN → ricostruzione del perimetro reale → enumerazione tecnica → ingestione normalizzata del VA → correlazione → generazione automatica dei blocchi di report.</w:t>
      </w:r>
    </w:p>
    <w:p>
      <w:pPr>
        <w:pStyle w:val="Heading1"/>
        <w:ind w:hanging="0" w:start="0"/>
        <w:rPr/>
      </w:pPr>
      <w:r>
        <w:rPr/>
        <w:t>10. Stato del documento precedente</w:t>
      </w:r>
    </w:p>
    <w:p>
      <w:pPr>
        <w:pStyle w:val="Normal"/>
        <w:rPr/>
      </w:pPr>
      <w:r>
        <w:rPr/>
        <w:t>Il workflow originale resta utile come base concettuale per definizione del pacchetto, obiettivo, inclusioni, esclusioni e deliverable. La parte operativa, però, è stata superata da un modello più realistico, più tecnico e più adatto all’automazione.</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b/>
          <w:bCs/>
        </w:rPr>
      </w:pPr>
      <w:r>
        <w:rPr>
          <w:b/>
          <w:bCs/>
        </w:rPr>
        <w:t>MOD01 – Local context</w:t>
      </w:r>
    </w:p>
    <w:p>
      <w:pPr>
        <w:pStyle w:val="Normal"/>
        <w:rPr/>
      </w:pPr>
      <w:r>
        <w:rPr/>
        <w:t>Interfacce presenti/attive.</w:t>
      </w:r>
    </w:p>
    <w:p>
      <w:pPr>
        <w:pStyle w:val="Normal"/>
        <w:rPr>
          <w:color w:val="FF0000"/>
        </w:rPr>
      </w:pPr>
      <w:r>
        <w:rPr>
          <w:color w:val="FF0000"/>
        </w:rPr>
        <w:t>ip -br link</w:t>
      </w:r>
    </w:p>
    <w:p>
      <w:pPr>
        <w:pStyle w:val="Normal"/>
        <w:rPr>
          <w:color w:val="000000"/>
        </w:rPr>
      </w:pPr>
      <w:r>
        <w:rPr>
          <w:color w:val="000000"/>
        </w:rPr>
        <w:t>Indirizzi interfacce</w:t>
      </w:r>
    </w:p>
    <w:p>
      <w:pPr>
        <w:pStyle w:val="Normal"/>
        <w:rPr>
          <w:color w:val="FF0000"/>
        </w:rPr>
      </w:pPr>
      <w:r>
        <w:rPr>
          <w:color w:val="FF0000"/>
        </w:rPr>
        <w:t>ip -br addr</w:t>
      </w:r>
    </w:p>
    <w:p>
      <w:pPr>
        <w:pStyle w:val="Normal"/>
        <w:rPr>
          <w:color w:val="000000"/>
        </w:rPr>
      </w:pPr>
      <w:r>
        <w:rPr>
          <w:color w:val="000000"/>
        </w:rPr>
        <w:t>Dettaglio interfaccia attiva</w:t>
      </w:r>
    </w:p>
    <w:p>
      <w:pPr>
        <w:pStyle w:val="Normal"/>
        <w:rPr>
          <w:color w:val="FF0000"/>
        </w:rPr>
      </w:pPr>
      <w:r>
        <w:rPr>
          <w:color w:val="FF0000"/>
        </w:rPr>
        <w:t>ip addr show dev &lt;IFACE&gt;</w:t>
      </w:r>
    </w:p>
    <w:p>
      <w:pPr>
        <w:pStyle w:val="Normal"/>
        <w:rPr>
          <w:color w:val="000000"/>
        </w:rPr>
      </w:pPr>
      <w:r>
        <w:rPr>
          <w:color w:val="000000"/>
        </w:rPr>
        <w:t>Route table</w:t>
      </w:r>
    </w:p>
    <w:p>
      <w:pPr>
        <w:pStyle w:val="Normal"/>
        <w:rPr>
          <w:color w:val="FF0000"/>
        </w:rPr>
      </w:pPr>
      <w:r>
        <w:rPr>
          <w:color w:val="FF0000"/>
        </w:rPr>
        <w:t>ip route</w:t>
      </w:r>
    </w:p>
    <w:p>
      <w:pPr>
        <w:pStyle w:val="Normal"/>
        <w:rPr>
          <w:color w:val="000000"/>
        </w:rPr>
      </w:pPr>
      <w:r>
        <w:rPr>
          <w:color w:val="000000"/>
        </w:rPr>
        <w:t>Dns interni/domini</w:t>
      </w:r>
    </w:p>
    <w:p>
      <w:pPr>
        <w:pStyle w:val="Normal"/>
        <w:rPr>
          <w:color w:val="FF0000"/>
        </w:rPr>
      </w:pPr>
      <w:r>
        <w:rPr>
          <w:color w:val="FF0000"/>
        </w:rPr>
        <w:t>cat /etc/resolv.conf</w:t>
      </w:r>
    </w:p>
    <w:p>
      <w:pPr>
        <w:pStyle w:val="Normal"/>
        <w:rPr>
          <w:color w:val="FF0000"/>
        </w:rPr>
      </w:pPr>
      <w:r>
        <w:rPr>
          <w:color w:val="FF0000"/>
        </w:rPr>
        <w:t>resolvectl status</w:t>
      </w:r>
    </w:p>
    <w:p>
      <w:pPr>
        <w:pStyle w:val="Normal"/>
        <w:rPr>
          <w:color w:val="000000"/>
        </w:rPr>
      </w:pPr>
      <w:r>
        <w:rPr>
          <w:color w:val="000000"/>
        </w:rPr>
        <w:t>Host identity</w:t>
      </w:r>
    </w:p>
    <w:p>
      <w:pPr>
        <w:pStyle w:val="Normal"/>
        <w:rPr>
          <w:color w:val="FF0000"/>
        </w:rPr>
      </w:pPr>
      <w:r>
        <w:rPr>
          <w:color w:val="FF0000"/>
        </w:rPr>
        <w:t>hostnamectl</w:t>
      </w:r>
    </w:p>
    <w:p>
      <w:pPr>
        <w:pStyle w:val="Normal"/>
        <w:rPr>
          <w:color w:val="FF0000"/>
        </w:rPr>
      </w:pPr>
      <w:r>
        <w:rPr>
          <w:color w:val="FF0000"/>
        </w:rPr>
      </w:r>
    </w:p>
    <w:p>
      <w:pPr>
        <w:pStyle w:val="Normal"/>
        <w:rPr>
          <w:b/>
          <w:bCs/>
        </w:rPr>
      </w:pPr>
      <w:r>
        <w:rPr>
          <w:b/>
          <w:bCs/>
        </w:rPr>
        <w:t>MOD02 – Contesto L2</w:t>
      </w:r>
    </w:p>
    <w:p>
      <w:pPr>
        <w:pStyle w:val="Normal"/>
        <w:rPr>
          <w:b w:val="false"/>
          <w:bCs w:val="false"/>
        </w:rPr>
      </w:pPr>
      <w:r>
        <w:rPr>
          <w:b w:val="false"/>
          <w:bCs w:val="false"/>
        </w:rPr>
        <w:t>ARP già presenti</w:t>
      </w:r>
    </w:p>
    <w:p>
      <w:pPr>
        <w:pStyle w:val="Normal"/>
        <w:rPr>
          <w:b w:val="false"/>
          <w:bCs w:val="false"/>
          <w:color w:val="FF0000"/>
        </w:rPr>
      </w:pPr>
      <w:r>
        <w:rPr>
          <w:b w:val="false"/>
          <w:bCs w:val="false"/>
          <w:color w:val="FF0000"/>
        </w:rPr>
        <w:t>ip neigh</w:t>
      </w:r>
    </w:p>
    <w:p>
      <w:pPr>
        <w:pStyle w:val="Normal"/>
        <w:rPr>
          <w:b w:val="false"/>
          <w:bCs w:val="false"/>
          <w:color w:val="000000"/>
        </w:rPr>
      </w:pPr>
      <w:r>
        <w:rPr>
          <w:b w:val="false"/>
          <w:bCs w:val="false"/>
          <w:color w:val="000000"/>
        </w:rPr>
        <w:t>Ripuliamo la cache</w:t>
      </w:r>
    </w:p>
    <w:p>
      <w:pPr>
        <w:pStyle w:val="Normal"/>
        <w:rPr>
          <w:b w:val="false"/>
          <w:bCs w:val="false"/>
          <w:color w:val="FF0000"/>
        </w:rPr>
      </w:pPr>
      <w:r>
        <w:rPr>
          <w:b w:val="false"/>
          <w:bCs w:val="false"/>
          <w:color w:val="FF0000"/>
        </w:rPr>
        <w:t>ip neigh flush dev &lt;IFACE&gt;</w:t>
      </w:r>
    </w:p>
    <w:p>
      <w:pPr>
        <w:pStyle w:val="Normal"/>
        <w:rPr>
          <w:b w:val="false"/>
          <w:bCs w:val="false"/>
          <w:color w:val="000000"/>
        </w:rPr>
      </w:pPr>
      <w:r>
        <w:rPr>
          <w:b w:val="false"/>
          <w:bCs w:val="false"/>
          <w:color w:val="000000"/>
        </w:rPr>
        <w:t>Enumeriamo gli host ipv4 che rispondono a livello L2</w:t>
      </w:r>
    </w:p>
    <w:p>
      <w:pPr>
        <w:pStyle w:val="Normal"/>
        <w:rPr>
          <w:b w:val="false"/>
          <w:bCs w:val="false"/>
          <w:color w:val="FF0000"/>
        </w:rPr>
      </w:pPr>
      <w:r>
        <w:rPr>
          <w:b w:val="false"/>
          <w:bCs w:val="false"/>
          <w:color w:val="FF0000"/>
        </w:rPr>
        <w:t>sudo arp-scan --interface=&lt;IFACE&gt; --localnet</w:t>
      </w:r>
    </w:p>
    <w:p>
      <w:pPr>
        <w:pStyle w:val="Normal"/>
        <w:rPr>
          <w:b w:val="false"/>
          <w:bCs w:val="false"/>
          <w:color w:val="FF0000"/>
        </w:rPr>
      </w:pPr>
      <w:r>
        <w:rPr>
          <w:b w:val="false"/>
          <w:bCs w:val="false"/>
          <w:color w:val="FF0000"/>
        </w:rPr>
        <w:t>sudo arp-scan --interface=eth0 --localnet --retry=3 –timeout=500</w:t>
      </w:r>
    </w:p>
    <w:p>
      <w:pPr>
        <w:pStyle w:val="Normal"/>
        <w:rPr>
          <w:b w:val="false"/>
          <w:bCs w:val="false"/>
          <w:color w:val="000000"/>
        </w:rPr>
      </w:pPr>
      <w:r>
        <w:rPr>
          <w:b w:val="false"/>
          <w:bCs w:val="false"/>
          <w:color w:val="000000"/>
        </w:rPr>
        <w:t>Catturiamo traffico passivo per scansionare host</w:t>
      </w:r>
    </w:p>
    <w:p>
      <w:pPr>
        <w:pStyle w:val="Normal"/>
        <w:rPr>
          <w:b w:val="false"/>
          <w:bCs w:val="false"/>
          <w:color w:val="FF0000"/>
        </w:rPr>
      </w:pPr>
      <w:r>
        <w:rPr>
          <w:b w:val="false"/>
          <w:bCs w:val="false"/>
          <w:color w:val="FF0000"/>
        </w:rPr>
        <w:t>timeout 30 tcpdump -i eth0 -nn -e -c 500</w:t>
      </w:r>
    </w:p>
    <w:p>
      <w:pPr>
        <w:pStyle w:val="Normal"/>
        <w:rPr>
          <w:b w:val="false"/>
          <w:bCs w:val="false"/>
          <w:color w:val="FF0000"/>
        </w:rPr>
      </w:pPr>
      <w:r>
        <w:rPr>
          <w:b w:val="false"/>
          <w:bCs w:val="false"/>
          <w:color w:val="FF0000"/>
        </w:rPr>
      </w:r>
    </w:p>
    <w:p>
      <w:pPr>
        <w:pStyle w:val="Normal"/>
        <w:rPr>
          <w:b/>
          <w:bCs/>
          <w:color w:val="000000"/>
        </w:rPr>
      </w:pPr>
      <w:r>
        <w:rPr>
          <w:b/>
          <w:bCs/>
          <w:color w:val="000000"/>
        </w:rPr>
        <w:t>MOD03 – L3 Reachability</w:t>
      </w:r>
    </w:p>
    <w:p>
      <w:pPr>
        <w:pStyle w:val="Normal"/>
        <w:rPr>
          <w:b w:val="false"/>
          <w:bCs w:val="false"/>
          <w:color w:val="000000"/>
        </w:rPr>
      </w:pPr>
      <w:r>
        <w:rPr>
          <w:b w:val="false"/>
          <w:bCs w:val="false"/>
          <w:color w:val="000000"/>
        </w:rPr>
        <w:t>Pingo il gateway e dns</w:t>
      </w:r>
    </w:p>
    <w:p>
      <w:pPr>
        <w:pStyle w:val="Normal"/>
        <w:rPr>
          <w:b w:val="false"/>
          <w:bCs w:val="false"/>
          <w:color w:val="FF0000"/>
        </w:rPr>
      </w:pPr>
      <w:r>
        <w:rPr>
          <w:b w:val="false"/>
          <w:bCs w:val="false"/>
          <w:color w:val="FF0000"/>
        </w:rPr>
        <w:t>ping -c 3 &lt;GATEWAY&gt;</w:t>
      </w:r>
    </w:p>
    <w:p>
      <w:pPr>
        <w:pStyle w:val="Normal"/>
        <w:rPr>
          <w:b w:val="false"/>
          <w:bCs w:val="false"/>
          <w:color w:val="FF0000"/>
        </w:rPr>
      </w:pPr>
      <w:r>
        <w:rPr>
          <w:b w:val="false"/>
          <w:bCs w:val="false"/>
          <w:color w:val="FF0000"/>
        </w:rPr>
        <w:t>ping -c 3 &lt;DNS_IP&gt;</w:t>
      </w:r>
    </w:p>
    <w:p>
      <w:pPr>
        <w:pStyle w:val="Normal"/>
        <w:rPr>
          <w:b w:val="false"/>
          <w:bCs w:val="false"/>
          <w:color w:val="000000"/>
        </w:rPr>
      </w:pPr>
      <w:r>
        <w:rPr>
          <w:b w:val="false"/>
          <w:bCs w:val="false"/>
          <w:color w:val="000000"/>
        </w:rPr>
        <w:t>Primo discovery L3</w:t>
      </w:r>
    </w:p>
    <w:p>
      <w:pPr>
        <w:pStyle w:val="Normal"/>
        <w:rPr>
          <w:b w:val="false"/>
          <w:bCs w:val="false"/>
          <w:color w:val="FF0000"/>
        </w:rPr>
      </w:pPr>
      <w:r>
        <w:rPr>
          <w:b w:val="false"/>
          <w:bCs w:val="false"/>
          <w:color w:val="FF0000"/>
        </w:rPr>
        <w:t>fping -a -g &lt;LOCAL_SUBNET&gt; -r 1 -t 250 2&gt;/dev/null</w:t>
      </w:r>
    </w:p>
    <w:p>
      <w:pPr>
        <w:pStyle w:val="Normal"/>
        <w:rPr>
          <w:b w:val="false"/>
          <w:bCs w:val="false"/>
          <w:color w:val="000000"/>
        </w:rPr>
      </w:pPr>
      <w:r>
        <w:rPr>
          <w:b w:val="false"/>
          <w:bCs w:val="false"/>
          <w:color w:val="000000"/>
        </w:rPr>
        <w:t>Host discovery</w:t>
      </w:r>
    </w:p>
    <w:p>
      <w:pPr>
        <w:pStyle w:val="BodyText"/>
        <w:rPr>
          <w:color w:val="FF0000"/>
        </w:rPr>
      </w:pPr>
      <w:r>
        <w:rPr>
          <w:color w:val="FF0000"/>
        </w:rPr>
        <w:t>sudo nmap -sn \</w:t>
      </w:r>
    </w:p>
    <w:p>
      <w:pPr>
        <w:pStyle w:val="BodyText"/>
        <w:rPr>
          <w:color w:val="FF0000"/>
        </w:rPr>
      </w:pPr>
      <w:r>
        <w:rPr>
          <w:color w:val="FF0000"/>
        </w:rPr>
        <w:t xml:space="preserve">  </w:t>
      </w:r>
      <w:r>
        <w:rPr>
          <w:color w:val="FF0000"/>
        </w:rPr>
        <w:t>-PE -PP \</w:t>
      </w:r>
    </w:p>
    <w:p>
      <w:pPr>
        <w:pStyle w:val="BodyText"/>
        <w:rPr>
          <w:color w:val="FF0000"/>
        </w:rPr>
      </w:pPr>
      <w:r>
        <w:rPr>
          <w:color w:val="FF0000"/>
        </w:rPr>
        <w:t xml:space="preserve">  </w:t>
      </w:r>
      <w:r>
        <w:rPr>
          <w:color w:val="FF0000"/>
        </w:rPr>
        <w:t>-PS21,22,80,135,139,443,445,3389 \</w:t>
      </w:r>
    </w:p>
    <w:p>
      <w:pPr>
        <w:pStyle w:val="BodyText"/>
        <w:rPr>
          <w:color w:val="FF0000"/>
        </w:rPr>
      </w:pPr>
      <w:r>
        <w:rPr>
          <w:color w:val="FF0000"/>
        </w:rPr>
        <w:t xml:space="preserve">  </w:t>
      </w:r>
      <w:r>
        <w:rPr>
          <w:color w:val="FF0000"/>
        </w:rPr>
        <w:t>-PA80,135,443,445 \</w:t>
      </w:r>
    </w:p>
    <w:p>
      <w:pPr>
        <w:pStyle w:val="BodyText"/>
        <w:rPr>
          <w:color w:val="FF0000"/>
        </w:rPr>
      </w:pPr>
      <w:r>
        <w:rPr>
          <w:color w:val="FF0000"/>
        </w:rPr>
        <w:t xml:space="preserve">  </w:t>
      </w:r>
      <w:r>
        <w:rPr>
          <w:color w:val="FF0000"/>
        </w:rPr>
        <w:t>-PU53,123,137,161 \</w:t>
      </w:r>
    </w:p>
    <w:p>
      <w:pPr>
        <w:pStyle w:val="BodyText"/>
        <w:rPr>
          <w:color w:val="FF0000"/>
        </w:rPr>
      </w:pPr>
      <w:r>
        <w:rPr>
          <w:color w:val="FF0000"/>
        </w:rPr>
        <w:t xml:space="preserve">  </w:t>
      </w:r>
      <w:r>
        <w:rPr>
          <w:color w:val="FF0000"/>
        </w:rPr>
        <w:t>&lt;LOCAL_SUBNET&gt; \</w:t>
      </w:r>
    </w:p>
    <w:p>
      <w:pPr>
        <w:pStyle w:val="BodyText"/>
        <w:rPr>
          <w:color w:val="FF0000"/>
        </w:rPr>
      </w:pPr>
      <w:r>
        <w:rPr>
          <w:color w:val="FF0000"/>
        </w:rPr>
        <w:t>-oA scans/phase2/mod03_nmap_sn_local</w:t>
      </w:r>
    </w:p>
    <w:p>
      <w:pPr>
        <w:pStyle w:val="BodyText"/>
        <w:rPr>
          <w:color w:val="FF0000"/>
        </w:rPr>
      </w:pPr>
      <w:r>
        <w:rPr>
          <w:color w:val="FF0000"/>
        </w:rPr>
      </w:r>
    </w:p>
    <w:p>
      <w:pPr>
        <w:pStyle w:val="BodyText"/>
        <w:rPr>
          <w:b/>
          <w:bCs/>
          <w:color w:val="000000"/>
        </w:rPr>
      </w:pPr>
      <w:r>
        <w:rPr>
          <w:b/>
          <w:bCs/>
          <w:color w:val="000000"/>
        </w:rPr>
        <w:t>MOD04 – Target List locale</w:t>
      </w:r>
    </w:p>
    <w:p>
      <w:pPr>
        <w:pStyle w:val="BodyText"/>
        <w:rPr>
          <w:b w:val="false"/>
          <w:bCs w:val="false"/>
          <w:color w:val="000000"/>
        </w:rPr>
      </w:pPr>
      <w:r>
        <w:rPr>
          <w:b w:val="false"/>
          <w:bCs w:val="false"/>
          <w:color w:val="000000"/>
        </w:rPr>
        <w:t>Superficie dei servizi aperti</w:t>
      </w:r>
    </w:p>
    <w:p>
      <w:pPr>
        <w:pStyle w:val="BodyText"/>
        <w:rPr>
          <w:color w:val="FF0000"/>
        </w:rPr>
      </w:pPr>
      <w:r>
        <w:rPr>
          <w:color w:val="FF0000"/>
        </w:rPr>
        <w:t>sudo nmap -Pn -sS -T4 --top-ports 200 \</w:t>
        <w:br/>
        <w:t>-iL "$ENGAGEMENT_ROOT/processed/phase2/live_hosts_local.txt" \</w:t>
        <w:br/>
        <w:t>-oA "$ENGAGEMENT_ROOT/scans/phase2/mod04_top200_local"</w:t>
      </w:r>
    </w:p>
    <w:p>
      <w:pPr>
        <w:pStyle w:val="BodyText"/>
        <w:rPr>
          <w:color w:val="FF0000"/>
        </w:rPr>
      </w:pPr>
      <w:r>
        <w:rPr>
          <w:color w:val="FF0000"/>
        </w:rPr>
      </w:r>
    </w:p>
    <w:p>
      <w:pPr>
        <w:pStyle w:val="BodyText"/>
        <w:rPr>
          <w:color w:val="000000"/>
        </w:rPr>
      </w:pPr>
      <w:r>
        <w:rPr>
          <w:color w:val="000000"/>
        </w:rPr>
        <w:t>Port scan su segmenti remoti</w:t>
      </w:r>
    </w:p>
    <w:p>
      <w:pPr>
        <w:pStyle w:val="BodyText"/>
        <w:rPr>
          <w:color w:val="FF0000"/>
        </w:rPr>
      </w:pPr>
      <w:r>
        <w:rPr>
          <w:color w:val="FF0000"/>
        </w:rPr>
        <w:t>sudo nmap -Pn -sS -T4 --top-ports 100 \</w:t>
        <w:br/>
        <w:t>-iL "$ENGAGEMENT_ROOT/processed/phase2/live_hosts_remote.txt" \</w:t>
        <w:br/>
        <w:t>-oA "$ENGAGEMENT_ROOT/scans/phase2/mod04_top100_remote"</w:t>
      </w:r>
    </w:p>
    <w:p>
      <w:pPr>
        <w:pStyle w:val="BodyText"/>
        <w:rPr>
          <w:color w:val="FF0000"/>
        </w:rPr>
      </w:pPr>
      <w:r>
        <w:rPr>
          <w:color w:val="FF0000"/>
        </w:rPr>
      </w:r>
    </w:p>
    <w:p>
      <w:pPr>
        <w:pStyle w:val="BodyText"/>
        <w:rPr>
          <w:color w:val="000000"/>
        </w:rPr>
      </w:pPr>
      <w:r>
        <w:rPr>
          <w:color w:val="000000"/>
        </w:rPr>
        <w:t>Enrichment su rete</w:t>
      </w:r>
    </w:p>
    <w:p>
      <w:pPr>
        <w:pStyle w:val="Normal"/>
        <w:rPr>
          <w:color w:val="FF0000"/>
        </w:rPr>
      </w:pPr>
      <w:r>
        <w:rPr>
          <w:color w:val="FF0000"/>
        </w:rPr>
        <w:t>sudo nmap -Pn -sS -sV -T4 \</w:t>
        <w:br/>
        <w:t>-iL "$ENGAGEMENT_ROOT/processed/phase2/service_enrichment_targets.txt" \</w:t>
        <w:br/>
        <w:t>-oA "$ENGAGEMENT_ROOT/scans/phase2/mod04_sv_enrichment"</w:t>
      </w:r>
    </w:p>
    <w:p>
      <w:pPr>
        <w:pStyle w:val="BodyText"/>
        <w:rPr>
          <w:color w:val="FF0000"/>
        </w:rPr>
      </w:pPr>
      <w:r>
        <w:rPr>
          <w:color w:val="FF0000"/>
        </w:rPr>
      </w:r>
    </w:p>
    <w:p>
      <w:pPr>
        <w:pStyle w:val="BodyText"/>
        <w:rPr>
          <w:b/>
          <w:bCs/>
          <w:color w:val="000000"/>
        </w:rPr>
      </w:pPr>
      <w:r>
        <w:rPr>
          <w:b/>
          <w:bCs/>
          <w:color w:val="000000"/>
        </w:rPr>
        <w:t>MOD05 – Fingerptint mirato</w:t>
      </w:r>
    </w:p>
    <w:p>
      <w:pPr>
        <w:pStyle w:val="Normal"/>
        <w:rPr>
          <w:color w:val="FF0000"/>
        </w:rPr>
      </w:pPr>
      <w:r>
        <w:rPr>
          <w:color w:val="FF0000"/>
        </w:rPr>
        <w:t>sudo nmap -Pn -sS -sV -T4 \</w:t>
        <w:br/>
        <w:t>-iL "$ENGAGEMENT_ROOT/processed/phase2/service_enrichment_targets.txt" \</w:t>
        <w:br/>
        <w:t>-oA "$ENGAGEMENT_ROOT/scans/phase2/mod04_sv_enrichment"</w:t>
      </w:r>
    </w:p>
    <w:p>
      <w:pPr>
        <w:pStyle w:val="BodyText"/>
        <w:rPr>
          <w:color w:val="000000"/>
        </w:rPr>
      </w:pPr>
      <w:r>
        <w:rPr>
          <w:color w:val="000000"/>
        </w:rPr>
        <w:t>Aggressive- focus on type (NAS, DC, GATEWAY)</w:t>
      </w:r>
    </w:p>
    <w:p>
      <w:pPr>
        <w:pStyle w:val="BodyText"/>
        <w:rPr>
          <w:color w:val="FF0000"/>
        </w:rPr>
      </w:pPr>
      <w:r>
        <w:rPr>
          <w:color w:val="FF0000"/>
        </w:rPr>
        <w:t>sudo nmap -Pn -A -T4 \</w:t>
        <w:br/>
        <w:t>-iL "$ENGAGEMENT_ROOT/processed/phase2/core_fingerprint_targets_small.txt" \</w:t>
        <w:br/>
        <w:t>-oA "$ENGAGEMENT_ROOT/scans/phase2/mod05_aggr_core_small"</w:t>
      </w:r>
    </w:p>
    <w:p>
      <w:pPr>
        <w:pStyle w:val="BodyText"/>
        <w:rPr>
          <w:color w:val="FF0000"/>
        </w:rPr>
      </w:pPr>
      <w:r>
        <w:rPr>
          <w:color w:val="FF0000"/>
        </w:rPr>
      </w:r>
    </w:p>
    <w:p>
      <w:pPr>
        <w:pStyle w:val="BodyText"/>
        <w:rPr>
          <w:color w:val="FF0000"/>
        </w:rPr>
      </w:pPr>
      <w:r>
        <w:rPr>
          <w:color w:val="FF0000"/>
        </w:rPr>
        <w:t>curl -I -m 5 "http://&lt;TARGET_IP&gt;:&lt;PORT&gt;"</w:t>
      </w:r>
    </w:p>
    <w:p>
      <w:pPr>
        <w:pStyle w:val="BodyText"/>
        <w:rPr>
          <w:color w:val="FF0000"/>
        </w:rPr>
      </w:pPr>
      <w:r>
        <w:rPr>
          <w:color w:val="FF0000"/>
        </w:rPr>
        <w:t>curl -I -m 5 "http://&lt;TARGET_IP&gt;:&lt;PORT&gt;"</w:t>
      </w:r>
    </w:p>
    <w:p>
      <w:pPr>
        <w:pStyle w:val="BodyText"/>
        <w:rPr/>
      </w:pPr>
      <w:r>
        <w:rPr/>
        <w:t>e</w:t>
      </w:r>
      <w:r>
        <w:rPr>
          <w:color w:val="FF0000"/>
        </w:rPr>
        <w:t>cho | openssl s_client -connect &lt;TARGET_IP&gt;: -servername &lt;TARGET_IP&gt; 2&gt;/dev/null</w:t>
      </w:r>
    </w:p>
    <w:p>
      <w:pPr>
        <w:pStyle w:val="BodyText"/>
        <w:rPr>
          <w:color w:val="FF0000"/>
        </w:rPr>
      </w:pPr>
      <w:r>
        <w:rPr>
          <w:color w:val="FF0000"/>
        </w:rPr>
      </w:r>
    </w:p>
    <w:p>
      <w:pPr>
        <w:pStyle w:val="BodyText"/>
        <w:rPr>
          <w:color w:val="FF0000"/>
        </w:rPr>
      </w:pPr>
      <w:r>
        <w:rPr>
          <w:color w:val="FF0000"/>
        </w:rPr>
        <w:t>dig -x &lt;TARGET_IP&gt;</w:t>
      </w:r>
    </w:p>
    <w:p>
      <w:pPr>
        <w:pStyle w:val="BodyText"/>
        <w:rPr>
          <w:color w:val="FF0000"/>
        </w:rPr>
      </w:pPr>
      <w:r>
        <w:rPr>
          <w:color w:val="FF0000"/>
        </w:rPr>
        <w:t>curl -k -L -m 5 "https://&lt;TARGET_IP&gt;:" -o "$ENGAGEMENT_ROOT/raw/phase2/mod05_body__.html"</w:t>
      </w:r>
    </w:p>
    <w:p>
      <w:pPr>
        <w:pStyle w:val="BodyText"/>
        <w:rPr/>
      </w:pPr>
      <w:r>
        <w:rPr/>
      </w:r>
    </w:p>
    <w:p>
      <w:pPr>
        <w:pStyle w:val="BodyText"/>
        <w:rPr>
          <w:b/>
          <w:bCs/>
        </w:rPr>
      </w:pPr>
      <w:r>
        <w:rPr>
          <w:b/>
          <w:bCs/>
        </w:rPr>
        <w:t>MOD06 – Passive Evidence</w:t>
      </w:r>
    </w:p>
    <w:p>
      <w:pPr>
        <w:pStyle w:val="BodyText"/>
        <w:rPr/>
      </w:pPr>
      <w:r>
        <w:rPr/>
        <w:t>Tcpdump</w:t>
      </w:r>
    </w:p>
    <w:p>
      <w:pPr>
        <w:pStyle w:val="PreformattedText"/>
        <w:rPr>
          <w:rFonts w:ascii="Aptos" w:hAnsi="Aptos"/>
          <w:color w:val="FF0000"/>
          <w:sz w:val="21"/>
        </w:rPr>
      </w:pPr>
      <w:r>
        <w:rPr>
          <w:rFonts w:ascii="Aptos" w:hAnsi="Aptos"/>
          <w:color w:val="FF0000"/>
          <w:sz w:val="21"/>
        </w:rPr>
        <w:t>sudo timeout 30 tcpdump -i &lt;IFACE&gt; -nn -e -w "$ENGAGEMENT_ROOT/raw/phase2/mod06_passive_30s.pcap"</w:t>
      </w:r>
    </w:p>
    <w:p>
      <w:pPr>
        <w:pStyle w:val="BodyText"/>
        <w:rPr/>
      </w:pPr>
      <w:r>
        <w:rPr/>
      </w:r>
    </w:p>
    <w:p>
      <w:pPr>
        <w:pStyle w:val="BodyText"/>
        <w:rPr/>
      </w:pPr>
      <w:r>
        <w:rPr/>
        <w:t>Parsing del TCPDUMP</w:t>
      </w:r>
    </w:p>
    <w:p>
      <w:pPr>
        <w:pStyle w:val="Normal"/>
        <w:rPr>
          <w:color w:val="FF0000"/>
        </w:rPr>
      </w:pPr>
      <w:r>
        <w:rPr>
          <w:color w:val="FF0000"/>
        </w:rPr>
        <w:t>tcpdump -nn -e -r "$ENGAGEMENT_ROOT/raw/phase2/mod06_passive_30s.pcap"</w:t>
      </w:r>
    </w:p>
    <w:p>
      <w:pPr>
        <w:pStyle w:val="BodyText"/>
        <w:rPr/>
      </w:pPr>
      <w:r>
        <w:rPr/>
      </w:r>
    </w:p>
    <w:p>
      <w:pPr>
        <w:pStyle w:val="BodyText"/>
        <w:rPr/>
      </w:pPr>
      <w:r>
        <w:rPr/>
        <w:t>Estrarre i “live”</w:t>
      </w:r>
    </w:p>
    <w:p>
      <w:pPr>
        <w:pStyle w:val="BodyText"/>
        <w:rPr>
          <w:color w:val="FF0000"/>
        </w:rPr>
      </w:pPr>
      <w:r>
        <w:rPr>
          <w:color w:val="FF0000"/>
        </w:rPr>
        <w:t>tcpdump -nn -r "$ENGAGEMENT_ROOT/raw/phase2/mod06_passive_30s.pcap" \</w:t>
        <w:br/>
        <w:t>'port 53 or port 67 or port 68 or port 137 or port 5353 or port 5355'</w:t>
      </w:r>
    </w:p>
    <w:p>
      <w:pPr>
        <w:pStyle w:val="BodyText"/>
        <w:rPr>
          <w:color w:val="FF0000"/>
        </w:rPr>
      </w:pPr>
      <w:r>
        <w:rPr>
          <w:color w:val="FF0000"/>
        </w:rPr>
      </w:r>
    </w:p>
    <w:p>
      <w:pPr>
        <w:pStyle w:val="BodyText"/>
        <w:rPr>
          <w:color w:val="000000"/>
        </w:rPr>
      </w:pPr>
      <w:r>
        <w:rPr>
          <w:color w:val="000000"/>
        </w:rPr>
        <w:t>Estrarre MAC/IP visibili in broadcast / chi parla spontaneamente</w:t>
      </w:r>
    </w:p>
    <w:p>
      <w:pPr>
        <w:pStyle w:val="PreformattedText"/>
        <w:rPr>
          <w:rFonts w:ascii="Aptos" w:hAnsi="Aptos"/>
          <w:color w:val="FF0000"/>
          <w:sz w:val="21"/>
        </w:rPr>
      </w:pPr>
      <w:r>
        <w:rPr>
          <w:rFonts w:ascii="Aptos" w:hAnsi="Aptos"/>
          <w:color w:val="FF0000"/>
          <w:sz w:val="21"/>
        </w:rPr>
        <w:t>tcpdump -nn -e -r "$ENGAGEMENT_ROOT/raw/phase2/mod06_passive_30s.pcap" 'arp or broadcast or multicast'</w:t>
      </w:r>
    </w:p>
    <w:p>
      <w:pPr>
        <w:pStyle w:val="BodyText"/>
        <w:spacing w:before="0" w:after="120"/>
        <w:rPr>
          <w:color w:val="FF0000"/>
        </w:rPr>
      </w:pPr>
      <w:r>
        <w:rPr>
          <w:color w:val="FF0000"/>
        </w:rPr>
      </w:r>
    </w:p>
    <w:p>
      <w:pPr>
        <w:pStyle w:val="BodyText"/>
        <w:spacing w:before="0" w:after="120"/>
        <w:rPr>
          <w:color w:val="FF0000"/>
        </w:rPr>
      </w:pPr>
      <w:r>
        <w:rPr>
          <w:color w:val="FF0000"/>
        </w:rPr>
      </w:r>
    </w:p>
    <w:p>
      <w:pPr>
        <w:pStyle w:val="BodyText"/>
        <w:spacing w:before="0" w:after="120"/>
        <w:rPr>
          <w:color w:val="FF0000"/>
        </w:rPr>
      </w:pPr>
      <w:r>
        <w:rPr>
          <w:color w:val="FF0000"/>
        </w:rPr>
      </w:r>
    </w:p>
    <w:p>
      <w:pPr>
        <w:pStyle w:val="BodyText"/>
        <w:spacing w:before="0" w:after="120"/>
        <w:rPr>
          <w:color w:val="FF0000"/>
        </w:rPr>
      </w:pPr>
      <w:r>
        <w:rPr>
          <w:color w:val="FF0000"/>
        </w:rPr>
      </w:r>
    </w:p>
    <w:p>
      <w:pPr>
        <w:pStyle w:val="BodyText"/>
        <w:spacing w:before="0" w:after="120"/>
        <w:rPr>
          <w:color w:val="FF0000"/>
        </w:rPr>
      </w:pPr>
      <w:r>
        <w:rPr>
          <w:color w:val="FF0000"/>
        </w:rPr>
      </w:r>
    </w:p>
    <w:p>
      <w:pPr>
        <w:pStyle w:val="BodyText"/>
        <w:spacing w:before="0" w:after="120"/>
        <w:rPr>
          <w:color w:val="FF0000"/>
        </w:rPr>
      </w:pPr>
      <w:r>
        <w:rPr>
          <w:color w:val="FF0000"/>
        </w:rPr>
      </w:r>
    </w:p>
    <w:p>
      <w:pPr>
        <w:pStyle w:val="BodyText"/>
        <w:spacing w:before="0" w:after="120"/>
        <w:rPr>
          <w:color w:val="FF0000"/>
        </w:rPr>
      </w:pPr>
      <w:r>
        <w:rPr>
          <w:color w:val="FF0000"/>
        </w:rPr>
        <w:t xml:space="preserve"> </w:t>
      </w:r>
    </w:p>
    <w:p>
      <w:pPr>
        <w:pStyle w:val="BodyText"/>
        <w:spacing w:before="0" w:after="120"/>
        <w:rPr/>
      </w:pPr>
      <w:r>
        <w:rPr>
          <w:b/>
          <w:bCs/>
          <w:color w:val="000000"/>
        </w:rPr>
        <w:t xml:space="preserve">Fase 2 – VA con OpenVAS </w:t>
      </w:r>
      <w:r>
        <w:rPr>
          <w:b/>
          <w:bCs/>
        </w:rPr>
        <w:t>Greenbone Community Edition</w:t>
      </w:r>
    </w:p>
    <w:p>
      <w:pPr>
        <w:pStyle w:val="BodyText"/>
        <w:spacing w:before="0" w:after="120"/>
        <w:rPr>
          <w:b w:val="false"/>
          <w:bCs w:val="false"/>
          <w:color w:val="000000"/>
        </w:rPr>
      </w:pPr>
      <w:r>
        <w:rPr>
          <w:b w:val="false"/>
          <w:bCs w:val="false"/>
          <w:color w:val="000000"/>
        </w:rPr>
        <w:t xml:space="preserve">Avremo l’output </w:t>
      </w:r>
      <w:r>
        <w:rPr>
          <w:b/>
          <w:bCs/>
          <w:color w:val="000000"/>
        </w:rPr>
        <w:t>parse_openvas_report.sh</w:t>
      </w:r>
      <w:r>
        <w:rPr>
          <w:b w:val="false"/>
          <w:bCs w:val="false"/>
          <w:color w:val="000000"/>
        </w:rPr>
        <w:t xml:space="preserve"> che aiuterà a generare </w:t>
      </w:r>
      <w:r>
        <w:rPr>
          <w:b/>
          <w:bCs/>
          <w:color w:val="000000"/>
        </w:rPr>
        <w:t>generate_assessment_report_blocks2.sh</w:t>
      </w:r>
    </w:p>
    <w:p>
      <w:pPr>
        <w:pStyle w:val="BodyText"/>
        <w:spacing w:before="0" w:after="120"/>
        <w:rPr>
          <w:b w:val="false"/>
          <w:bCs w:val="false"/>
          <w:color w:val="FF0000"/>
        </w:rPr>
      </w:pPr>
      <w:r>
        <w:rPr>
          <w:b w:val="false"/>
          <w:bCs w:val="false"/>
          <w:color w:val="FF0000"/>
        </w:rPr>
        <w:t>sudo apt update &amp;&amp; sudo apt upgrade -y</w:t>
        <w:br/>
        <w:t>sudo apt install gvm -y</w:t>
        <w:br/>
        <w:t>sudo gvm-setup</w:t>
        <w:br/>
        <w:t>sudo gvm-check-setup</w:t>
      </w:r>
    </w:p>
    <w:p>
      <w:pPr>
        <w:pStyle w:val="BodyText"/>
        <w:spacing w:before="0" w:after="120"/>
        <w:rPr>
          <w:b w:val="false"/>
          <w:bCs w:val="false"/>
          <w:color w:val="FF0000"/>
        </w:rPr>
      </w:pPr>
      <w:r>
        <w:rPr>
          <w:b w:val="false"/>
          <w:bCs w:val="false"/>
          <w:color w:val="FF0000"/>
        </w:rPr>
        <w:t>sudo gvm-start</w:t>
        <w:br/>
        <w:t>sudo gvm-stop</w:t>
      </w:r>
    </w:p>
    <w:p>
      <w:pPr>
        <w:pStyle w:val="BodyText"/>
        <w:spacing w:before="0" w:after="120"/>
        <w:rPr>
          <w:b w:val="false"/>
          <w:bCs w:val="false"/>
        </w:rPr>
      </w:pPr>
      <w:r>
        <w:rPr>
          <w:b w:val="false"/>
          <w:bCs w:val="false"/>
        </w:rPr>
      </w:r>
    </w:p>
    <w:p>
      <w:pPr>
        <w:pStyle w:val="BodyText"/>
        <w:spacing w:before="0" w:after="120"/>
        <w:rPr>
          <w:b w:val="false"/>
          <w:bCs w:val="false"/>
          <w:color w:val="000000"/>
        </w:rPr>
      </w:pPr>
      <w:r>
        <w:rPr>
          <w:b w:val="false"/>
          <w:bCs w:val="false"/>
          <w:color w:val="000000"/>
        </w:rPr>
        <w:t>Ripristinare il cluster PostgreSQL</w:t>
      </w:r>
    </w:p>
    <w:p>
      <w:pPr>
        <w:pStyle w:val="BodyText"/>
        <w:spacing w:before="0" w:after="120"/>
        <w:rPr>
          <w:b w:val="false"/>
          <w:bCs w:val="false"/>
          <w:color w:val="FF0000"/>
        </w:rPr>
      </w:pPr>
      <w:r>
        <w:rPr>
          <w:b w:val="false"/>
          <w:bCs w:val="false"/>
          <w:color w:val="FF0000"/>
        </w:rPr>
        <w:t>pg_lsclusters</w:t>
        <w:br/>
        <w:t>sudo rm -rf /etc/postgresql/18/main</w:t>
        <w:br/>
        <w:t>sudo rm -rf /var/lib/postgresql/18/main</w:t>
      </w:r>
    </w:p>
    <w:p>
      <w:pPr>
        <w:pStyle w:val="BodyText"/>
        <w:spacing w:before="0" w:after="120"/>
        <w:rPr>
          <w:b w:val="false"/>
          <w:bCs w:val="false"/>
          <w:color w:val="FF0000"/>
        </w:rPr>
      </w:pPr>
      <w:r>
        <w:rPr>
          <w:b w:val="false"/>
          <w:bCs w:val="false"/>
          <w:color w:val="FF0000"/>
        </w:rPr>
        <w:t>sudo runuser -u postgres -- /usr/share/gvm/create-postgresql-database</w:t>
      </w:r>
    </w:p>
    <w:p>
      <w:pPr>
        <w:pStyle w:val="BodyText"/>
        <w:spacing w:before="0" w:after="120"/>
        <w:rPr>
          <w:b w:val="false"/>
          <w:bCs w:val="false"/>
          <w:color w:val="FF0000"/>
        </w:rPr>
      </w:pPr>
      <w:r>
        <w:rPr>
          <w:b w:val="false"/>
          <w:bCs w:val="false"/>
          <w:color w:val="FF0000"/>
        </w:rPr>
      </w:r>
    </w:p>
    <w:p>
      <w:pPr>
        <w:pStyle w:val="BodyText"/>
        <w:spacing w:before="0" w:after="120"/>
        <w:rPr>
          <w:b w:val="false"/>
          <w:bCs w:val="false"/>
          <w:color w:val="000000"/>
        </w:rPr>
      </w:pPr>
      <w:r>
        <w:rPr>
          <w:b w:val="false"/>
          <w:bCs w:val="false"/>
          <w:color w:val="000000"/>
        </w:rPr>
        <w:t>admin</w:t>
      </w:r>
    </w:p>
    <w:p>
      <w:pPr>
        <w:pStyle w:val="BodyText"/>
        <w:spacing w:before="0" w:after="120"/>
        <w:rPr>
          <w:b w:val="false"/>
          <w:bCs w:val="false"/>
          <w:color w:val="000000"/>
        </w:rPr>
      </w:pPr>
      <w:r>
        <w:rPr>
          <w:b w:val="false"/>
          <w:bCs w:val="false"/>
          <w:color w:val="000000"/>
        </w:rPr>
        <w:t>america8!</w:t>
      </w:r>
    </w:p>
    <w:p>
      <w:pPr>
        <w:pStyle w:val="BodyText"/>
        <w:spacing w:before="0" w:after="120"/>
        <w:rPr>
          <w:b w:val="false"/>
          <w:bCs w:val="false"/>
          <w:color w:val="000000"/>
        </w:rPr>
      </w:pPr>
      <w:r>
        <w:rPr>
          <w:b w:val="false"/>
          <w:bCs w:val="false"/>
          <w:color w:val="000000"/>
        </w:rPr>
      </w:r>
    </w:p>
    <w:p>
      <w:pPr>
        <w:pStyle w:val="BodyText"/>
        <w:spacing w:before="0" w:after="120"/>
        <w:rPr>
          <w:b w:val="false"/>
          <w:bCs w:val="false"/>
          <w:color w:val="000000"/>
        </w:rPr>
      </w:pPr>
      <w:r>
        <w:rPr>
          <w:b w:val="false"/>
          <w:bCs w:val="false"/>
          <w:color w:val="000000"/>
        </w:rPr>
        <w:t xml:space="preserve">Controllo I </w:t>
      </w:r>
      <w:r>
        <w:rPr>
          <w:b/>
          <w:bCs/>
          <w:color w:val="000000"/>
        </w:rPr>
        <w:t>FEED</w:t>
      </w:r>
    </w:p>
    <w:p>
      <w:pPr>
        <w:pStyle w:val="BodyText"/>
        <w:widowControl/>
        <w:suppressAutoHyphens w:val="true"/>
        <w:overflowPunct w:val="true"/>
        <w:bidi w:val="0"/>
        <w:spacing w:lineRule="auto" w:line="276"/>
        <w:jc w:val="start"/>
        <w:rPr>
          <w:rFonts w:ascii="Aptos" w:hAnsi="Aptos" w:eastAsia="ＭＳ 明朝"/>
          <w:b w:val="false"/>
          <w:bCs w:val="false"/>
          <w:color w:val="FF0000"/>
          <w:kern w:val="0"/>
          <w:sz w:val="21"/>
          <w:szCs w:val="22"/>
          <w:lang w:val="en-US" w:eastAsia="en-US" w:bidi="ar-SA"/>
        </w:rPr>
      </w:pPr>
      <w:r>
        <w:rPr>
          <w:rFonts w:eastAsia="ＭＳ 明朝"/>
          <w:b w:val="false"/>
          <w:bCs w:val="false"/>
          <w:color w:val="000000"/>
          <w:kern w:val="0"/>
          <w:sz w:val="21"/>
          <w:szCs w:val="22"/>
          <w:lang w:val="en-US" w:eastAsia="en-US" w:bidi="ar-SA"/>
        </w:rPr>
        <w:t>Controlla lo status.</w:t>
      </w:r>
    </w:p>
    <w:p>
      <w:pPr>
        <w:pStyle w:val="BodyText"/>
        <w:widowControl/>
        <w:suppressAutoHyphens w:val="true"/>
        <w:overflowPunct w:val="true"/>
        <w:bidi w:val="0"/>
        <w:spacing w:lineRule="auto" w:line="276"/>
        <w:jc w:val="start"/>
        <w:rPr>
          <w:rFonts w:ascii="Aptos" w:hAnsi="Aptos" w:eastAsia="ＭＳ 明朝"/>
          <w:b w:val="false"/>
          <w:bCs w:val="false"/>
          <w:color w:val="FF0000"/>
          <w:kern w:val="0"/>
          <w:sz w:val="21"/>
          <w:szCs w:val="22"/>
          <w:lang w:val="en-US" w:eastAsia="en-US" w:bidi="ar-SA"/>
        </w:rPr>
      </w:pPr>
      <w:r>
        <w:rPr>
          <w:rFonts w:eastAsia="ＭＳ 明朝"/>
          <w:b w:val="false"/>
          <w:bCs w:val="false"/>
          <w:color w:val="FF0000"/>
          <w:kern w:val="0"/>
          <w:sz w:val="21"/>
          <w:szCs w:val="22"/>
          <w:lang w:val="en-US" w:eastAsia="en-US" w:bidi="ar-SA"/>
        </w:rPr>
        <w:t>sudo systemctl status gvmd</w:t>
      </w:r>
    </w:p>
    <w:p>
      <w:pPr>
        <w:pStyle w:val="BodyText"/>
        <w:widowControl/>
        <w:suppressAutoHyphens w:val="true"/>
        <w:overflowPunct w:val="true"/>
        <w:bidi w:val="0"/>
        <w:spacing w:lineRule="auto" w:line="276"/>
        <w:jc w:val="start"/>
        <w:rPr>
          <w:rFonts w:ascii="Aptos" w:hAnsi="Aptos" w:eastAsia="ＭＳ 明朝"/>
          <w:b w:val="false"/>
          <w:bCs w:val="false"/>
          <w:color w:val="FF0000"/>
          <w:kern w:val="0"/>
          <w:sz w:val="21"/>
          <w:szCs w:val="22"/>
          <w:lang w:val="en-US" w:eastAsia="en-US" w:bidi="ar-SA"/>
        </w:rPr>
      </w:pPr>
      <w:r>
        <w:rPr>
          <w:rFonts w:eastAsia="ＭＳ 明朝"/>
          <w:b w:val="false"/>
          <w:bCs w:val="false"/>
          <w:color w:val="FF0000"/>
          <w:kern w:val="0"/>
          <w:sz w:val="21"/>
          <w:szCs w:val="22"/>
          <w:lang w:val="en-US" w:eastAsia="en-US" w:bidi="ar-SA"/>
        </w:rPr>
        <w:t>sudo systemctl status ospd-openvas</w:t>
      </w:r>
    </w:p>
    <w:p>
      <w:pPr>
        <w:pStyle w:val="BodyText"/>
        <w:widowControl/>
        <w:suppressAutoHyphens w:val="true"/>
        <w:overflowPunct w:val="true"/>
        <w:bidi w:val="0"/>
        <w:spacing w:lineRule="auto" w:line="276"/>
        <w:jc w:val="start"/>
        <w:rPr>
          <w:rFonts w:ascii="Aptos" w:hAnsi="Aptos" w:eastAsia="ＭＳ 明朝"/>
          <w:b w:val="false"/>
          <w:bCs w:val="false"/>
          <w:color w:val="FF0000"/>
          <w:kern w:val="0"/>
          <w:sz w:val="21"/>
          <w:szCs w:val="22"/>
          <w:lang w:val="en-US" w:eastAsia="en-US" w:bidi="ar-SA"/>
        </w:rPr>
      </w:pPr>
      <w:r>
        <w:rPr>
          <w:rFonts w:eastAsia="ＭＳ 明朝"/>
          <w:b w:val="false"/>
          <w:bCs w:val="false"/>
          <w:color w:val="FF0000"/>
          <w:kern w:val="0"/>
          <w:sz w:val="21"/>
          <w:szCs w:val="22"/>
          <w:lang w:val="en-US" w:eastAsia="en-US" w:bidi="ar-SA"/>
        </w:rPr>
        <w:t>sudo systemctl status openvas-scanner</w:t>
      </w:r>
    </w:p>
    <w:p>
      <w:pPr>
        <w:pStyle w:val="BodyText"/>
        <w:widowControl/>
        <w:suppressAutoHyphens w:val="true"/>
        <w:overflowPunct w:val="true"/>
        <w:bidi w:val="0"/>
        <w:spacing w:lineRule="auto" w:line="276"/>
        <w:jc w:val="start"/>
        <w:rPr>
          <w:rFonts w:ascii="Aptos" w:hAnsi="Aptos" w:eastAsia="ＭＳ 明朝"/>
          <w:b w:val="false"/>
          <w:bCs w:val="false"/>
          <w:color w:val="FF0000"/>
          <w:kern w:val="0"/>
          <w:sz w:val="21"/>
          <w:szCs w:val="22"/>
          <w:lang w:val="en-US" w:eastAsia="en-US" w:bidi="ar-SA"/>
        </w:rPr>
      </w:pPr>
      <w:r>
        <w:rPr>
          <w:rFonts w:eastAsia="ＭＳ 明朝"/>
          <w:b w:val="false"/>
          <w:bCs w:val="false"/>
          <w:color w:val="FF0000"/>
          <w:kern w:val="0"/>
          <w:sz w:val="21"/>
          <w:szCs w:val="22"/>
          <w:lang w:val="en-US" w:eastAsia="en-US" w:bidi="ar-SA"/>
        </w:rPr>
        <w:t>sudo systemctl status notus-scanner</w:t>
      </w:r>
    </w:p>
    <w:p>
      <w:pPr>
        <w:pStyle w:val="BodyText"/>
        <w:widowControl/>
        <w:suppressAutoHyphens w:val="true"/>
        <w:overflowPunct w:val="true"/>
        <w:bidi w:val="0"/>
        <w:spacing w:lineRule="auto" w:line="276"/>
        <w:jc w:val="start"/>
        <w:rPr>
          <w:rFonts w:ascii="Aptos" w:hAnsi="Aptos" w:eastAsia="ＭＳ 明朝"/>
          <w:b w:val="false"/>
          <w:bCs w:val="false"/>
          <w:color w:val="FF0000"/>
          <w:kern w:val="0"/>
          <w:sz w:val="21"/>
          <w:szCs w:val="22"/>
          <w:lang w:val="en-US" w:eastAsia="en-US" w:bidi="ar-SA"/>
        </w:rPr>
      </w:pPr>
      <w:r>
        <w:rPr>
          <w:rFonts w:eastAsia="ＭＳ 明朝"/>
          <w:b w:val="false"/>
          <w:bCs w:val="false"/>
          <w:color w:val="FF0000"/>
          <w:kern w:val="0"/>
          <w:sz w:val="21"/>
          <w:szCs w:val="22"/>
          <w:lang w:val="en-US" w:eastAsia="en-US" w:bidi="ar-SA"/>
        </w:rPr>
      </w:r>
    </w:p>
    <w:p>
      <w:pPr>
        <w:pStyle w:val="BodyText"/>
        <w:widowControl/>
        <w:suppressAutoHyphens w:val="true"/>
        <w:overflowPunct w:val="true"/>
        <w:bidi w:val="0"/>
        <w:spacing w:lineRule="auto" w:line="276"/>
        <w:jc w:val="start"/>
        <w:rPr>
          <w:rFonts w:ascii="Aptos" w:hAnsi="Aptos" w:eastAsia="ＭＳ 明朝"/>
          <w:b w:val="false"/>
          <w:bCs w:val="false"/>
          <w:color w:val="000000"/>
          <w:kern w:val="0"/>
          <w:sz w:val="21"/>
          <w:szCs w:val="22"/>
          <w:lang w:val="en-US" w:eastAsia="en-US" w:bidi="ar-SA"/>
        </w:rPr>
      </w:pPr>
      <w:r>
        <w:rPr>
          <w:rFonts w:eastAsia="ＭＳ 明朝"/>
          <w:b w:val="false"/>
          <w:bCs w:val="false"/>
          <w:color w:val="000000"/>
          <w:kern w:val="0"/>
          <w:sz w:val="21"/>
          <w:szCs w:val="22"/>
          <w:lang w:val="en-US" w:eastAsia="en-US" w:bidi="ar-SA"/>
        </w:rPr>
        <w:t>Cambia password</w:t>
      </w:r>
    </w:p>
    <w:p>
      <w:pPr>
        <w:pStyle w:val="BodyText"/>
        <w:widowControl/>
        <w:suppressAutoHyphens w:val="true"/>
        <w:overflowPunct w:val="true"/>
        <w:bidi w:val="0"/>
        <w:spacing w:lineRule="auto" w:line="276"/>
        <w:jc w:val="start"/>
        <w:rPr>
          <w:rFonts w:ascii="Aptos" w:hAnsi="Aptos" w:eastAsia="ＭＳ 明朝"/>
          <w:b w:val="false"/>
          <w:bCs w:val="false"/>
          <w:color w:val="FF0000"/>
          <w:kern w:val="0"/>
          <w:sz w:val="21"/>
          <w:szCs w:val="22"/>
          <w:lang w:val="en-US" w:eastAsia="en-US" w:bidi="ar-SA"/>
        </w:rPr>
      </w:pPr>
      <w:r>
        <w:rPr>
          <w:rFonts w:eastAsia="ＭＳ 明朝"/>
          <w:b w:val="false"/>
          <w:bCs w:val="false"/>
          <w:color w:val="FF0000"/>
          <w:kern w:val="0"/>
          <w:sz w:val="21"/>
          <w:szCs w:val="22"/>
          <w:lang w:val="en-US" w:eastAsia="en-US" w:bidi="ar-SA"/>
        </w:rPr>
        <w:t>sudo runuser -u _gvm – gvmd –user=admin –new-password=newpassword</w:t>
      </w:r>
    </w:p>
    <w:p>
      <w:pPr>
        <w:pStyle w:val="BodyText"/>
        <w:widowControl/>
        <w:suppressAutoHyphens w:val="true"/>
        <w:overflowPunct w:val="true"/>
        <w:bidi w:val="0"/>
        <w:spacing w:lineRule="auto" w:line="276"/>
        <w:jc w:val="start"/>
        <w:rPr>
          <w:rFonts w:ascii="Aptos" w:hAnsi="Aptos" w:eastAsia="ＭＳ 明朝"/>
          <w:b w:val="false"/>
          <w:bCs w:val="false"/>
          <w:color w:val="FF0000"/>
          <w:kern w:val="0"/>
          <w:sz w:val="21"/>
          <w:szCs w:val="22"/>
          <w:lang w:val="en-US" w:eastAsia="en-US" w:bidi="ar-SA"/>
        </w:rPr>
      </w:pPr>
      <w:r>
        <w:rPr>
          <w:rFonts w:eastAsia="ＭＳ 明朝"/>
          <w:b w:val="false"/>
          <w:bCs w:val="false"/>
          <w:color w:val="FF0000"/>
          <w:kern w:val="0"/>
          <w:sz w:val="21"/>
          <w:szCs w:val="22"/>
          <w:lang w:val="en-US" w:eastAsia="en-US" w:bidi="ar-SA"/>
        </w:rPr>
        <w:br/>
      </w:r>
      <w:r>
        <w:rPr>
          <w:rFonts w:eastAsia="ＭＳ 明朝"/>
          <w:b w:val="false"/>
          <w:bCs w:val="false"/>
          <w:color w:val="000000"/>
          <w:kern w:val="0"/>
          <w:sz w:val="21"/>
          <w:szCs w:val="22"/>
          <w:lang w:val="en-US" w:eastAsia="en-US" w:bidi="ar-SA"/>
        </w:rPr>
        <w:t>Controlla I log</w:t>
      </w:r>
    </w:p>
    <w:p>
      <w:pPr>
        <w:pStyle w:val="BodyText"/>
        <w:widowControl/>
        <w:suppressAutoHyphens w:val="true"/>
        <w:overflowPunct w:val="true"/>
        <w:bidi w:val="0"/>
        <w:spacing w:lineRule="auto" w:line="276"/>
        <w:jc w:val="start"/>
        <w:rPr>
          <w:rFonts w:ascii="Aptos" w:hAnsi="Aptos" w:eastAsia="ＭＳ 明朝"/>
          <w:b w:val="false"/>
          <w:bCs w:val="false"/>
          <w:color w:val="FF0000"/>
          <w:kern w:val="0"/>
          <w:sz w:val="21"/>
          <w:szCs w:val="22"/>
          <w:lang w:val="en-US" w:eastAsia="en-US" w:bidi="ar-SA"/>
        </w:rPr>
      </w:pPr>
      <w:r>
        <w:rPr>
          <w:rFonts w:eastAsia="ＭＳ 明朝"/>
          <w:b w:val="false"/>
          <w:bCs w:val="false"/>
          <w:color w:val="FF0000"/>
          <w:kern w:val="0"/>
          <w:sz w:val="21"/>
          <w:szCs w:val="22"/>
          <w:lang w:val="en-US" w:eastAsia="en-US" w:bidi="ar-SA"/>
        </w:rPr>
        <w:t>sudo tail -n 50 /var/log/gvm/gvmd.log</w:t>
      </w:r>
    </w:p>
    <w:p>
      <w:pPr>
        <w:pStyle w:val="BodyText"/>
        <w:widowControl/>
        <w:suppressAutoHyphens w:val="true"/>
        <w:overflowPunct w:val="true"/>
        <w:bidi w:val="0"/>
        <w:spacing w:lineRule="auto" w:line="276"/>
        <w:jc w:val="start"/>
        <w:rPr>
          <w:rFonts w:ascii="Aptos" w:hAnsi="Aptos" w:eastAsia="ＭＳ 明朝"/>
          <w:b w:val="false"/>
          <w:bCs w:val="false"/>
          <w:color w:val="FF0000"/>
          <w:kern w:val="0"/>
          <w:sz w:val="21"/>
          <w:szCs w:val="22"/>
          <w:lang w:val="en-US" w:eastAsia="en-US" w:bidi="ar-SA"/>
        </w:rPr>
      </w:pPr>
      <w:r>
        <w:rPr>
          <w:rFonts w:eastAsia="ＭＳ 明朝"/>
          <w:b w:val="false"/>
          <w:bCs w:val="false"/>
          <w:color w:val="FF0000"/>
          <w:kern w:val="0"/>
          <w:sz w:val="21"/>
          <w:szCs w:val="22"/>
          <w:lang w:val="en-US" w:eastAsia="en-US" w:bidi="ar-SA"/>
        </w:rPr>
        <w:t>echo "-----"</w:t>
      </w:r>
    </w:p>
    <w:p>
      <w:pPr>
        <w:pStyle w:val="BodyText"/>
        <w:widowControl/>
        <w:suppressAutoHyphens w:val="true"/>
        <w:overflowPunct w:val="true"/>
        <w:bidi w:val="0"/>
        <w:spacing w:lineRule="auto" w:line="276"/>
        <w:jc w:val="start"/>
        <w:rPr>
          <w:rFonts w:ascii="Aptos" w:hAnsi="Aptos" w:eastAsia="ＭＳ 明朝"/>
          <w:b w:val="false"/>
          <w:bCs w:val="false"/>
          <w:color w:val="FF0000"/>
          <w:kern w:val="0"/>
          <w:sz w:val="21"/>
          <w:szCs w:val="22"/>
          <w:lang w:val="en-US" w:eastAsia="en-US" w:bidi="ar-SA"/>
        </w:rPr>
      </w:pPr>
      <w:r>
        <w:rPr>
          <w:rFonts w:eastAsia="ＭＳ 明朝"/>
          <w:b w:val="false"/>
          <w:bCs w:val="false"/>
          <w:color w:val="FF0000"/>
          <w:kern w:val="0"/>
          <w:sz w:val="21"/>
          <w:szCs w:val="22"/>
          <w:lang w:val="en-US" w:eastAsia="en-US" w:bidi="ar-SA"/>
        </w:rPr>
        <w:t>sudo tail -n 50 /var/log/gvm/ospd-openvas.log</w:t>
      </w:r>
    </w:p>
    <w:p>
      <w:pPr>
        <w:pStyle w:val="BodyText"/>
        <w:rPr>
          <w:color w:val="FF0000"/>
        </w:rPr>
      </w:pPr>
      <w:r>
        <w:rPr>
          <w:color w:val="FF0000"/>
        </w:rPr>
        <w:t>sudo grep -E "OSP service has different VT status|Updating VTs in database|update_scap|update_scap_end|sync_cert" /var/log/gvm/gvmd.log | tail -n 50</w:t>
      </w:r>
    </w:p>
    <w:p>
      <w:pPr>
        <w:pStyle w:val="BodyText"/>
        <w:spacing w:before="0" w:after="120"/>
        <w:rPr/>
      </w:pPr>
      <w:r>
        <w:rPr/>
      </w:r>
    </w:p>
    <w:p>
      <w:pPr>
        <w:pStyle w:val="Heading2"/>
        <w:spacing w:before="0" w:after="120"/>
        <w:rPr>
          <w:rFonts w:ascii="Aptos" w:hAnsi="Aptos" w:eastAsia="ＭＳ 明朝"/>
          <w:color w:val="auto"/>
          <w:sz w:val="21"/>
          <w:szCs w:val="22"/>
        </w:rPr>
      </w:pPr>
      <w:r>
        <w:rPr>
          <w:rFonts w:eastAsia="ＭＳ 明朝" w:ascii="Aptos" w:hAnsi="Aptos"/>
          <w:color w:val="auto"/>
          <w:sz w:val="21"/>
          <w:szCs w:val="22"/>
        </w:rPr>
        <w:t>Profilo da usare</w:t>
      </w:r>
    </w:p>
    <w:p>
      <w:pPr>
        <w:pStyle w:val="BodyText"/>
        <w:rPr/>
      </w:pPr>
      <w:r>
        <w:rPr/>
        <w:t>Per la baseline ti consiglio:</w:t>
      </w:r>
    </w:p>
    <w:p>
      <w:pPr>
        <w:pStyle w:val="BodyText"/>
        <w:numPr>
          <w:ilvl w:val="0"/>
          <w:numId w:val="7"/>
        </w:numPr>
        <w:tabs>
          <w:tab w:val="clear" w:pos="720"/>
          <w:tab w:val="left" w:pos="0" w:leader="none"/>
        </w:tabs>
        <w:spacing w:before="0" w:after="0"/>
        <w:ind w:hanging="283" w:start="709"/>
        <w:rPr/>
      </w:pPr>
      <w:r>
        <w:rPr>
          <w:rStyle w:val="Strong"/>
        </w:rPr>
        <w:t>Scan Config</w:t>
      </w:r>
      <w:r>
        <w:rPr/>
        <w:t xml:space="preserve">: </w:t>
      </w:r>
      <w:r>
        <w:rPr>
          <w:rStyle w:val="SourceText"/>
        </w:rPr>
        <w:t>Full and fast</w:t>
      </w:r>
      <w:r>
        <w:rPr/>
        <w:t xml:space="preserve"> </w:t>
      </w:r>
    </w:p>
    <w:p>
      <w:pPr>
        <w:pStyle w:val="BodyText"/>
        <w:numPr>
          <w:ilvl w:val="0"/>
          <w:numId w:val="7"/>
        </w:numPr>
        <w:tabs>
          <w:tab w:val="clear" w:pos="720"/>
          <w:tab w:val="left" w:pos="0" w:leader="none"/>
        </w:tabs>
        <w:spacing w:before="0" w:after="0"/>
        <w:ind w:hanging="283" w:start="709"/>
        <w:rPr/>
      </w:pPr>
      <w:r>
        <w:rPr>
          <w:rStyle w:val="Strong"/>
        </w:rPr>
        <w:t>Report di lavoro</w:t>
      </w:r>
      <w:r>
        <w:rPr/>
        <w:t xml:space="preserve">: </w:t>
      </w:r>
      <w:r>
        <w:rPr>
          <w:rStyle w:val="SourceText"/>
        </w:rPr>
        <w:t>XML</w:t>
      </w:r>
      <w:r>
        <w:rPr/>
        <w:t xml:space="preserve"> </w:t>
      </w:r>
    </w:p>
    <w:p>
      <w:pPr>
        <w:pStyle w:val="BodyText"/>
        <w:numPr>
          <w:ilvl w:val="0"/>
          <w:numId w:val="7"/>
        </w:numPr>
        <w:tabs>
          <w:tab w:val="clear" w:pos="720"/>
          <w:tab w:val="left" w:pos="0" w:leader="none"/>
        </w:tabs>
        <w:ind w:hanging="283" w:start="709"/>
        <w:rPr/>
      </w:pPr>
      <w:r>
        <w:rPr>
          <w:rStyle w:val="Strong"/>
        </w:rPr>
        <w:t>Modalità</w:t>
      </w:r>
      <w:r>
        <w:rPr/>
        <w:t xml:space="preserve">: </w:t>
      </w:r>
      <w:r>
        <w:rPr>
          <w:rStyle w:val="Strong"/>
        </w:rPr>
        <w:t>non distruttiva</w:t>
      </w:r>
      <w:r>
        <w:rPr/>
        <w:t>, senza exploitation, senza brute force, senza DoS mirati</w:t>
      </w:r>
    </w:p>
    <w:p>
      <w:pPr>
        <w:pStyle w:val="Heading2"/>
        <w:spacing w:before="0" w:after="120"/>
        <w:rPr>
          <w:rFonts w:ascii="Aptos" w:hAnsi="Aptos" w:eastAsia="ＭＳ 明朝"/>
          <w:color w:val="auto"/>
          <w:sz w:val="21"/>
          <w:szCs w:val="22"/>
        </w:rPr>
      </w:pPr>
      <w:r>
        <w:rPr>
          <w:rFonts w:eastAsia="ＭＳ 明朝" w:ascii="Aptos" w:hAnsi="Aptos"/>
          <w:color w:val="auto"/>
          <w:sz w:val="21"/>
          <w:szCs w:val="22"/>
        </w:rPr>
        <w:t>Configurazione pratica in UI</w:t>
      </w:r>
    </w:p>
    <w:p>
      <w:pPr>
        <w:pStyle w:val="Heading3"/>
        <w:spacing w:before="0" w:after="120"/>
        <w:rPr>
          <w:rFonts w:ascii="Aptos" w:hAnsi="Aptos" w:eastAsia="ＭＳ 明朝"/>
          <w:color w:val="auto"/>
        </w:rPr>
      </w:pPr>
      <w:r>
        <w:rPr>
          <w:rFonts w:eastAsia="ＭＳ 明朝" w:ascii="Aptos" w:hAnsi="Aptos"/>
          <w:color w:val="auto"/>
        </w:rPr>
        <w:t>1) Crea il target</w:t>
      </w:r>
    </w:p>
    <w:p>
      <w:pPr>
        <w:pStyle w:val="BodyText"/>
        <w:rPr/>
      </w:pPr>
      <w:r>
        <w:rPr/>
        <w:t>Vai su:</w:t>
      </w:r>
    </w:p>
    <w:p>
      <w:pPr>
        <w:pStyle w:val="BodyText"/>
        <w:numPr>
          <w:ilvl w:val="0"/>
          <w:numId w:val="8"/>
        </w:numPr>
        <w:tabs>
          <w:tab w:val="clear" w:pos="720"/>
          <w:tab w:val="left" w:pos="0" w:leader="none"/>
        </w:tabs>
        <w:spacing w:before="0" w:after="0"/>
        <w:ind w:hanging="283" w:start="709"/>
        <w:rPr/>
      </w:pPr>
      <w:r>
        <w:rPr>
          <w:rStyle w:val="Strong"/>
        </w:rPr>
        <w:t>Scans</w:t>
      </w:r>
      <w:r>
        <w:rPr/>
        <w:t xml:space="preserve"> → </w:t>
      </w:r>
      <w:r>
        <w:rPr>
          <w:rStyle w:val="Strong"/>
        </w:rPr>
        <w:t>Targets</w:t>
      </w:r>
      <w:r>
        <w:rPr/>
        <w:t xml:space="preserve"> </w:t>
      </w:r>
    </w:p>
    <w:p>
      <w:pPr>
        <w:pStyle w:val="BodyText"/>
        <w:numPr>
          <w:ilvl w:val="0"/>
          <w:numId w:val="8"/>
        </w:numPr>
        <w:tabs>
          <w:tab w:val="clear" w:pos="720"/>
          <w:tab w:val="left" w:pos="0" w:leader="none"/>
        </w:tabs>
        <w:ind w:hanging="283" w:start="709"/>
        <w:rPr/>
      </w:pPr>
      <w:r>
        <w:rPr>
          <w:rStyle w:val="Strong"/>
        </w:rPr>
        <w:t>New Target</w:t>
      </w:r>
      <w:r>
        <w:rPr/>
        <w:t xml:space="preserve"> </w:t>
      </w:r>
    </w:p>
    <w:p>
      <w:pPr>
        <w:pStyle w:val="BodyText"/>
        <w:rPr/>
      </w:pPr>
      <w:r>
        <w:rPr/>
        <w:t>Compila così:</w:t>
      </w:r>
    </w:p>
    <w:p>
      <w:pPr>
        <w:pStyle w:val="BodyText"/>
        <w:numPr>
          <w:ilvl w:val="0"/>
          <w:numId w:val="9"/>
        </w:numPr>
        <w:tabs>
          <w:tab w:val="clear" w:pos="720"/>
          <w:tab w:val="left" w:pos="0" w:leader="none"/>
        </w:tabs>
        <w:spacing w:before="0" w:after="0"/>
        <w:ind w:hanging="283" w:start="709"/>
        <w:rPr/>
      </w:pPr>
      <w:r>
        <w:rPr>
          <w:rStyle w:val="Strong"/>
        </w:rPr>
        <w:t>Name</w:t>
      </w:r>
      <w:r>
        <w:rPr/>
        <w:t xml:space="preserve">: </w:t>
      </w:r>
      <w:r>
        <w:rPr>
          <w:rStyle w:val="SourceText"/>
        </w:rPr>
        <w:t>CSA-&lt;ENGAGEMENT_ID&gt;-TARGET</w:t>
      </w:r>
      <w:r>
        <w:rPr/>
        <w:t xml:space="preserve"> </w:t>
      </w:r>
    </w:p>
    <w:p>
      <w:pPr>
        <w:pStyle w:val="BodyText"/>
        <w:numPr>
          <w:ilvl w:val="0"/>
          <w:numId w:val="9"/>
        </w:numPr>
        <w:tabs>
          <w:tab w:val="clear" w:pos="720"/>
          <w:tab w:val="left" w:pos="0" w:leader="none"/>
        </w:tabs>
        <w:spacing w:before="0" w:after="0"/>
        <w:ind w:hanging="283" w:start="709"/>
        <w:rPr/>
      </w:pPr>
      <w:r>
        <w:rPr>
          <w:rStyle w:val="Strong"/>
        </w:rPr>
        <w:t>Hosts</w:t>
      </w:r>
      <w:r>
        <w:rPr/>
        <w:t xml:space="preserve">: IP singolo, lista IP o subnet autorizzata </w:t>
      </w:r>
    </w:p>
    <w:p>
      <w:pPr>
        <w:pStyle w:val="BodyText"/>
        <w:numPr>
          <w:ilvl w:val="0"/>
          <w:numId w:val="9"/>
        </w:numPr>
        <w:tabs>
          <w:tab w:val="clear" w:pos="720"/>
          <w:tab w:val="left" w:pos="0" w:leader="none"/>
        </w:tabs>
        <w:spacing w:before="0" w:after="0"/>
        <w:ind w:hanging="283" w:start="709"/>
        <w:rPr/>
      </w:pPr>
      <w:r>
        <w:rPr>
          <w:rStyle w:val="Strong"/>
        </w:rPr>
        <w:t>Port List</w:t>
      </w:r>
      <w:r>
        <w:rPr/>
        <w:t xml:space="preserve">: </w:t>
      </w:r>
      <w:r>
        <w:rPr>
          <w:rStyle w:val="SourceText"/>
        </w:rPr>
        <w:t>All IANA assigned TCP</w:t>
      </w:r>
      <w:r>
        <w:rPr/>
        <w:t xml:space="preserve"> </w:t>
      </w:r>
    </w:p>
    <w:p>
      <w:pPr>
        <w:pStyle w:val="BodyText"/>
        <w:numPr>
          <w:ilvl w:val="0"/>
          <w:numId w:val="9"/>
        </w:numPr>
        <w:tabs>
          <w:tab w:val="clear" w:pos="720"/>
          <w:tab w:val="left" w:pos="0" w:leader="none"/>
        </w:tabs>
        <w:spacing w:before="0" w:after="0"/>
        <w:ind w:hanging="283" w:start="709"/>
        <w:rPr/>
      </w:pPr>
      <w:r>
        <w:rPr/>
        <w:t xml:space="preserve">niente credenziali per ora </w:t>
      </w:r>
    </w:p>
    <w:p>
      <w:pPr>
        <w:pStyle w:val="BodyText"/>
        <w:numPr>
          <w:ilvl w:val="0"/>
          <w:numId w:val="9"/>
        </w:numPr>
        <w:tabs>
          <w:tab w:val="clear" w:pos="720"/>
          <w:tab w:val="left" w:pos="0" w:leader="none"/>
        </w:tabs>
        <w:ind w:hanging="283" w:start="709"/>
        <w:rPr/>
      </w:pPr>
      <w:r>
        <w:rPr/>
        <w:t xml:space="preserve">niente alive test strani o tuning aggressivi </w:t>
      </w:r>
    </w:p>
    <w:p>
      <w:pPr>
        <w:pStyle w:val="BodyText"/>
        <w:rPr/>
      </w:pPr>
      <w:r>
        <w:rPr/>
        <w:t xml:space="preserve">La port list </w:t>
      </w:r>
      <w:r>
        <w:rPr>
          <w:rStyle w:val="SourceText"/>
        </w:rPr>
        <w:t>All IANA assigned TCP</w:t>
      </w:r>
      <w:r>
        <w:rPr/>
        <w:t xml:space="preserve"> è una delle liste standard caricate da feed in </w:t>
      </w:r>
      <w:r>
        <w:rPr>
          <w:rStyle w:val="SourceText"/>
        </w:rPr>
        <w:t>gvmd</w:t>
      </w:r>
      <w:r>
        <w:rPr/>
        <w:t xml:space="preserve">, ed è coerente con un primo VA ordinato e leggibile. </w:t>
      </w:r>
    </w:p>
    <w:p>
      <w:pPr>
        <w:pStyle w:val="Heading3"/>
        <w:spacing w:before="0" w:after="120"/>
        <w:rPr>
          <w:rFonts w:ascii="Aptos" w:hAnsi="Aptos" w:eastAsia="ＭＳ 明朝"/>
          <w:color w:val="auto"/>
        </w:rPr>
      </w:pPr>
      <w:r>
        <w:rPr>
          <w:rFonts w:eastAsia="ＭＳ 明朝" w:ascii="Aptos" w:hAnsi="Aptos"/>
          <w:color w:val="auto"/>
        </w:rPr>
        <w:t>2) Crea il task</w:t>
      </w:r>
    </w:p>
    <w:p>
      <w:pPr>
        <w:pStyle w:val="BodyText"/>
        <w:rPr/>
      </w:pPr>
      <w:r>
        <w:rPr/>
        <w:t>Vai su:</w:t>
      </w:r>
    </w:p>
    <w:p>
      <w:pPr>
        <w:pStyle w:val="BodyText"/>
        <w:numPr>
          <w:ilvl w:val="0"/>
          <w:numId w:val="10"/>
        </w:numPr>
        <w:tabs>
          <w:tab w:val="clear" w:pos="720"/>
          <w:tab w:val="left" w:pos="0" w:leader="none"/>
        </w:tabs>
        <w:spacing w:before="0" w:after="0"/>
        <w:ind w:hanging="283" w:start="709"/>
        <w:rPr/>
      </w:pPr>
      <w:r>
        <w:rPr>
          <w:rStyle w:val="Strong"/>
        </w:rPr>
        <w:t>Scans</w:t>
      </w:r>
      <w:r>
        <w:rPr/>
        <w:t xml:space="preserve"> → </w:t>
      </w:r>
      <w:r>
        <w:rPr>
          <w:rStyle w:val="Strong"/>
        </w:rPr>
        <w:t>Tasks</w:t>
      </w:r>
      <w:r>
        <w:rPr/>
        <w:t xml:space="preserve"> </w:t>
      </w:r>
    </w:p>
    <w:p>
      <w:pPr>
        <w:pStyle w:val="BodyText"/>
        <w:numPr>
          <w:ilvl w:val="0"/>
          <w:numId w:val="10"/>
        </w:numPr>
        <w:tabs>
          <w:tab w:val="clear" w:pos="720"/>
          <w:tab w:val="left" w:pos="0" w:leader="none"/>
        </w:tabs>
        <w:ind w:hanging="283" w:start="709"/>
        <w:rPr/>
      </w:pPr>
      <w:r>
        <w:rPr>
          <w:rStyle w:val="Strong"/>
        </w:rPr>
        <w:t>New Task</w:t>
      </w:r>
      <w:r>
        <w:rPr/>
        <w:t xml:space="preserve"> oppure </w:t>
      </w:r>
      <w:r>
        <w:rPr>
          <w:rStyle w:val="Strong"/>
        </w:rPr>
        <w:t>Advanced Task Wizard</w:t>
      </w:r>
      <w:r>
        <w:rPr/>
        <w:t xml:space="preserve"> </w:t>
      </w:r>
    </w:p>
    <w:p>
      <w:pPr>
        <w:pStyle w:val="BodyText"/>
        <w:rPr/>
      </w:pPr>
      <w:r>
        <w:rPr/>
        <w:t xml:space="preserve">Greenbone documenta sia il task wizard sia l’advanced task wizard per creare e configurare una scansione. </w:t>
      </w:r>
    </w:p>
    <w:p>
      <w:pPr>
        <w:pStyle w:val="BodyText"/>
        <w:rPr/>
      </w:pPr>
      <w:r>
        <w:rPr/>
        <w:t>Imposta:</w:t>
      </w:r>
    </w:p>
    <w:p>
      <w:pPr>
        <w:pStyle w:val="BodyText"/>
        <w:numPr>
          <w:ilvl w:val="0"/>
          <w:numId w:val="11"/>
        </w:numPr>
        <w:tabs>
          <w:tab w:val="clear" w:pos="720"/>
          <w:tab w:val="left" w:pos="0" w:leader="none"/>
        </w:tabs>
        <w:spacing w:before="0" w:after="0"/>
        <w:ind w:hanging="283" w:start="709"/>
        <w:rPr/>
      </w:pPr>
      <w:r>
        <w:rPr>
          <w:rStyle w:val="Strong"/>
        </w:rPr>
        <w:t>Name</w:t>
      </w:r>
      <w:r>
        <w:rPr/>
        <w:t xml:space="preserve">: </w:t>
      </w:r>
      <w:r>
        <w:rPr>
          <w:rStyle w:val="SourceText"/>
        </w:rPr>
        <w:t>CSA-&lt;ENGAGEMENT_ID&gt;-OPENVAS-01</w:t>
      </w:r>
      <w:r>
        <w:rPr/>
        <w:t xml:space="preserve"> </w:t>
      </w:r>
    </w:p>
    <w:p>
      <w:pPr>
        <w:pStyle w:val="BodyText"/>
        <w:numPr>
          <w:ilvl w:val="0"/>
          <w:numId w:val="11"/>
        </w:numPr>
        <w:tabs>
          <w:tab w:val="clear" w:pos="720"/>
          <w:tab w:val="left" w:pos="0" w:leader="none"/>
        </w:tabs>
        <w:spacing w:before="0" w:after="0"/>
        <w:ind w:hanging="283" w:start="709"/>
        <w:rPr/>
      </w:pPr>
      <w:r>
        <w:rPr>
          <w:rStyle w:val="Strong"/>
        </w:rPr>
        <w:t>Target</w:t>
      </w:r>
      <w:r>
        <w:rPr/>
        <w:t xml:space="preserve">: quello appena creato </w:t>
      </w:r>
    </w:p>
    <w:p>
      <w:pPr>
        <w:pStyle w:val="BodyText"/>
        <w:numPr>
          <w:ilvl w:val="0"/>
          <w:numId w:val="11"/>
        </w:numPr>
        <w:tabs>
          <w:tab w:val="clear" w:pos="720"/>
          <w:tab w:val="left" w:pos="0" w:leader="none"/>
        </w:tabs>
        <w:spacing w:before="0" w:after="0"/>
        <w:ind w:hanging="283" w:start="709"/>
        <w:rPr/>
      </w:pPr>
      <w:r>
        <w:rPr>
          <w:rStyle w:val="Strong"/>
        </w:rPr>
        <w:t>Scan Config</w:t>
      </w:r>
      <w:r>
        <w:rPr/>
        <w:t xml:space="preserve">: </w:t>
      </w:r>
      <w:r>
        <w:rPr>
          <w:rStyle w:val="SourceText"/>
        </w:rPr>
        <w:t>Full and fast</w:t>
      </w:r>
      <w:r>
        <w:rPr/>
        <w:t xml:space="preserve"> </w:t>
      </w:r>
    </w:p>
    <w:p>
      <w:pPr>
        <w:pStyle w:val="BodyText"/>
        <w:numPr>
          <w:ilvl w:val="0"/>
          <w:numId w:val="11"/>
        </w:numPr>
        <w:tabs>
          <w:tab w:val="clear" w:pos="720"/>
          <w:tab w:val="left" w:pos="0" w:leader="none"/>
        </w:tabs>
        <w:spacing w:before="0" w:after="0"/>
        <w:ind w:hanging="283" w:start="709"/>
        <w:rPr/>
      </w:pPr>
      <w:r>
        <w:rPr>
          <w:rStyle w:val="Strong"/>
        </w:rPr>
        <w:t>Scanner</w:t>
      </w:r>
      <w:r>
        <w:rPr/>
        <w:t xml:space="preserve">: OpenVAS / scanner predefinito disponibile </w:t>
      </w:r>
    </w:p>
    <w:p>
      <w:pPr>
        <w:pStyle w:val="BodyText"/>
        <w:numPr>
          <w:ilvl w:val="0"/>
          <w:numId w:val="11"/>
        </w:numPr>
        <w:tabs>
          <w:tab w:val="clear" w:pos="720"/>
          <w:tab w:val="left" w:pos="0" w:leader="none"/>
        </w:tabs>
        <w:ind w:hanging="283" w:start="709"/>
        <w:rPr/>
      </w:pPr>
      <w:r>
        <w:rPr>
          <w:rStyle w:val="Strong"/>
        </w:rPr>
        <w:t>Schedule</w:t>
      </w:r>
      <w:r>
        <w:rPr/>
        <w:t xml:space="preserve">: nessuna, per ora manuale </w:t>
      </w:r>
    </w:p>
    <w:p>
      <w:pPr>
        <w:pStyle w:val="Heading3"/>
        <w:spacing w:before="0" w:after="120"/>
        <w:rPr>
          <w:rFonts w:ascii="Aptos" w:hAnsi="Aptos" w:eastAsia="ＭＳ 明朝"/>
          <w:color w:val="auto"/>
        </w:rPr>
      </w:pPr>
      <w:r>
        <w:rPr>
          <w:rFonts w:eastAsia="ＭＳ 明朝" w:ascii="Aptos" w:hAnsi="Aptos"/>
          <w:color w:val="auto"/>
        </w:rPr>
        <w:t>3) Avvia il task</w:t>
      </w:r>
    </w:p>
    <w:p>
      <w:pPr>
        <w:pStyle w:val="BodyText"/>
        <w:rPr/>
      </w:pPr>
      <w:r>
        <w:rPr/>
        <w:t>Dalla lista task:</w:t>
      </w:r>
    </w:p>
    <w:p>
      <w:pPr>
        <w:pStyle w:val="BodyText"/>
        <w:numPr>
          <w:ilvl w:val="0"/>
          <w:numId w:val="12"/>
        </w:numPr>
        <w:tabs>
          <w:tab w:val="clear" w:pos="720"/>
          <w:tab w:val="left" w:pos="0" w:leader="none"/>
        </w:tabs>
        <w:spacing w:before="0" w:after="0"/>
        <w:ind w:hanging="283" w:start="709"/>
        <w:rPr/>
      </w:pPr>
      <w:r>
        <w:rPr/>
        <w:t xml:space="preserve">avvia lo scan </w:t>
      </w:r>
    </w:p>
    <w:p>
      <w:pPr>
        <w:pStyle w:val="BodyText"/>
        <w:numPr>
          <w:ilvl w:val="0"/>
          <w:numId w:val="12"/>
        </w:numPr>
        <w:tabs>
          <w:tab w:val="clear" w:pos="720"/>
          <w:tab w:val="left" w:pos="0" w:leader="none"/>
        </w:tabs>
        <w:spacing w:before="0" w:after="0"/>
        <w:ind w:hanging="283" w:start="709"/>
        <w:rPr/>
      </w:pPr>
      <w:r>
        <w:rPr/>
        <w:t xml:space="preserve">attendi il completamento </w:t>
      </w:r>
    </w:p>
    <w:p>
      <w:pPr>
        <w:pStyle w:val="BodyText"/>
        <w:numPr>
          <w:ilvl w:val="0"/>
          <w:numId w:val="12"/>
        </w:numPr>
        <w:tabs>
          <w:tab w:val="clear" w:pos="720"/>
          <w:tab w:val="left" w:pos="0" w:leader="none"/>
        </w:tabs>
        <w:ind w:hanging="283" w:start="709"/>
        <w:rPr/>
      </w:pPr>
      <w:r>
        <w:rPr/>
        <w:t xml:space="preserve">apri il report risultante </w:t>
      </w:r>
    </w:p>
    <w:p>
      <w:pPr>
        <w:pStyle w:val="BodyText"/>
        <w:rPr/>
      </w:pPr>
      <w:r>
        <w:rPr/>
        <w:t xml:space="preserve">Greenbone documenta anche via GMP il flusso logico: </w:t>
      </w:r>
      <w:r>
        <w:rPr>
          <w:rStyle w:val="Strong"/>
        </w:rPr>
        <w:t>create target → create task → start task → ottieni report_id</w:t>
      </w:r>
      <w:r>
        <w:rPr/>
        <w:t xml:space="preserve">. </w:t>
      </w:r>
    </w:p>
    <w:p>
      <w:pPr>
        <w:pStyle w:val="Heading2"/>
        <w:spacing w:before="0" w:after="120"/>
        <w:rPr>
          <w:rFonts w:ascii="Aptos" w:hAnsi="Aptos" w:eastAsia="ＭＳ 明朝"/>
          <w:color w:val="auto"/>
          <w:sz w:val="21"/>
          <w:szCs w:val="22"/>
        </w:rPr>
      </w:pPr>
      <w:r>
        <w:rPr>
          <w:rFonts w:eastAsia="ＭＳ 明朝" w:ascii="Aptos" w:hAnsi="Aptos"/>
          <w:color w:val="auto"/>
          <w:sz w:val="21"/>
          <w:szCs w:val="22"/>
        </w:rPr>
        <w:t>Come esportare il report giusto</w:t>
      </w:r>
    </w:p>
    <w:p>
      <w:pPr>
        <w:pStyle w:val="BodyText"/>
        <w:rPr/>
      </w:pPr>
      <w:r>
        <w:rPr/>
        <w:t>Quando il task è concluso:</w:t>
      </w:r>
    </w:p>
    <w:p>
      <w:pPr>
        <w:pStyle w:val="BodyText"/>
        <w:numPr>
          <w:ilvl w:val="0"/>
          <w:numId w:val="13"/>
        </w:numPr>
        <w:tabs>
          <w:tab w:val="clear" w:pos="720"/>
          <w:tab w:val="left" w:pos="0" w:leader="none"/>
        </w:tabs>
        <w:spacing w:before="0" w:after="0"/>
        <w:ind w:hanging="283" w:start="709"/>
        <w:rPr/>
      </w:pPr>
      <w:r>
        <w:rPr/>
        <w:t xml:space="preserve">apri il </w:t>
      </w:r>
      <w:r>
        <w:rPr>
          <w:rStyle w:val="Strong"/>
        </w:rPr>
        <w:t>report</w:t>
      </w:r>
      <w:r>
        <w:rPr/>
        <w:t xml:space="preserve"> </w:t>
      </w:r>
    </w:p>
    <w:p>
      <w:pPr>
        <w:pStyle w:val="BodyText"/>
        <w:numPr>
          <w:ilvl w:val="0"/>
          <w:numId w:val="13"/>
        </w:numPr>
        <w:tabs>
          <w:tab w:val="clear" w:pos="720"/>
          <w:tab w:val="left" w:pos="0" w:leader="none"/>
        </w:tabs>
        <w:spacing w:before="0" w:after="0"/>
        <w:ind w:hanging="283" w:start="709"/>
        <w:rPr/>
      </w:pPr>
      <w:r>
        <w:rPr/>
        <w:t xml:space="preserve">usa </w:t>
      </w:r>
      <w:r>
        <w:rPr>
          <w:rStyle w:val="Strong"/>
        </w:rPr>
        <w:t>Export</w:t>
      </w:r>
      <w:r>
        <w:rPr/>
        <w:t xml:space="preserve"> </w:t>
      </w:r>
    </w:p>
    <w:p>
      <w:pPr>
        <w:pStyle w:val="BodyText"/>
        <w:numPr>
          <w:ilvl w:val="0"/>
          <w:numId w:val="13"/>
        </w:numPr>
        <w:tabs>
          <w:tab w:val="clear" w:pos="720"/>
          <w:tab w:val="left" w:pos="0" w:leader="none"/>
        </w:tabs>
        <w:ind w:hanging="283" w:start="709"/>
        <w:rPr/>
      </w:pPr>
      <w:r>
        <w:rPr/>
        <w:t xml:space="preserve">scegli </w:t>
      </w:r>
      <w:r>
        <w:rPr>
          <w:rStyle w:val="Strong"/>
        </w:rPr>
        <w:t>XML</w:t>
      </w:r>
      <w:r>
        <w:rPr/>
        <w:t xml:space="preserve"> </w:t>
      </w:r>
    </w:p>
    <w:p>
      <w:pPr>
        <w:pStyle w:val="BodyText"/>
        <w:rPr/>
      </w:pPr>
      <w:r>
        <w:rPr/>
        <w:t xml:space="preserve">Greenbone documenta esplicitamente che un report può essere esportato in più formati, tra cui </w:t>
      </w:r>
      <w:r>
        <w:rPr>
          <w:rStyle w:val="Strong"/>
        </w:rPr>
        <w:t>XML</w:t>
      </w:r>
      <w:r>
        <w:rPr/>
        <w:t>.</w:t>
      </w:r>
    </w:p>
    <w:p>
      <w:pPr>
        <w:pStyle w:val="BodyText"/>
        <w:spacing w:before="0" w:after="120"/>
        <w:rPr/>
      </w:pPr>
      <w:r>
        <w:rPr/>
        <w:t xml:space="preserve">→ </w:t>
      </w:r>
      <w:r>
        <w:rPr>
          <w:rFonts w:eastAsia="ＭＳ 明朝" w:cs="DejaVu Sans"/>
          <w:sz w:val="21"/>
          <w:szCs w:val="22"/>
        </w:rPr>
        <w:t>engagements/&lt;ENGAGEMENT_ID&gt;/assessment/openvas/raw/openvas_report.xml</w:t>
      </w:r>
    </w:p>
    <w:p>
      <w:pPr>
        <w:pStyle w:val="BodyText"/>
        <w:numPr>
          <w:ilvl w:val="0"/>
          <w:numId w:val="14"/>
        </w:numPr>
        <w:tabs>
          <w:tab w:val="clear" w:pos="720"/>
          <w:tab w:val="left" w:pos="0" w:leader="none"/>
        </w:tabs>
        <w:spacing w:before="0" w:after="0"/>
        <w:ind w:hanging="283" w:start="709"/>
        <w:rPr/>
      </w:pPr>
      <w:r>
        <w:rPr>
          <w:rStyle w:val="Strong"/>
        </w:rPr>
        <w:t>stato task in UI</w:t>
      </w:r>
      <w:r>
        <w:rPr/>
        <w:t xml:space="preserve"> </w:t>
      </w:r>
    </w:p>
    <w:p>
      <w:pPr>
        <w:pStyle w:val="BodyText"/>
        <w:numPr>
          <w:ilvl w:val="1"/>
          <w:numId w:val="14"/>
        </w:numPr>
        <w:tabs>
          <w:tab w:val="clear" w:pos="720"/>
          <w:tab w:val="left" w:pos="0" w:leader="none"/>
        </w:tabs>
        <w:spacing w:before="0" w:after="0"/>
        <w:ind w:hanging="283" w:start="1418"/>
        <w:rPr/>
      </w:pPr>
      <w:r>
        <w:rPr>
          <w:rStyle w:val="SourceText"/>
        </w:rPr>
        <w:t>Queued</w:t>
      </w:r>
      <w:r>
        <w:rPr/>
        <w:t xml:space="preserve"> → </w:t>
      </w:r>
      <w:r>
        <w:rPr>
          <w:rStyle w:val="SourceText"/>
        </w:rPr>
        <w:t>Running</w:t>
      </w:r>
      <w:r>
        <w:rPr/>
        <w:t xml:space="preserve"> → idealmente </w:t>
      </w:r>
      <w:r>
        <w:rPr>
          <w:rStyle w:val="SourceText"/>
        </w:rPr>
        <w:t>Done</w:t>
      </w:r>
      <w:r>
        <w:rPr/>
        <w:t xml:space="preserve"> </w:t>
      </w:r>
    </w:p>
    <w:p>
      <w:pPr>
        <w:pStyle w:val="BodyText"/>
        <w:numPr>
          <w:ilvl w:val="0"/>
          <w:numId w:val="14"/>
        </w:numPr>
        <w:tabs>
          <w:tab w:val="clear" w:pos="720"/>
          <w:tab w:val="left" w:pos="0" w:leader="none"/>
        </w:tabs>
        <w:ind w:hanging="283" w:start="709"/>
        <w:rPr/>
      </w:pPr>
      <w:r>
        <w:rPr>
          <w:rStyle w:val="Strong"/>
        </w:rPr>
        <w:t>log scanner</w:t>
      </w:r>
      <w:r>
        <w:rPr/>
        <w:t xml:space="preserve"> </w:t>
      </w:r>
    </w:p>
    <w:p>
      <w:pPr>
        <w:sectPr>
          <w:type w:val="nextPage"/>
          <w:pgSz w:w="12240" w:h="15840"/>
          <w:pgMar w:left="1152" w:right="1152" w:gutter="0" w:header="0" w:top="1008" w:footer="0" w:bottom="1008"/>
          <w:pgNumType w:fmt="decimal"/>
          <w:formProt w:val="false"/>
          <w:textDirection w:val="lrTb"/>
          <w:docGrid w:type="default" w:linePitch="360" w:charSpace="0"/>
        </w:sectPr>
      </w:pPr>
    </w:p>
    <w:p>
      <w:pPr>
        <w:pStyle w:val="PreformattedText"/>
        <w:ind w:hanging="0" w:start="0" w:end="0"/>
        <w:rPr>
          <w:rFonts w:ascii="Aptos" w:hAnsi="Aptos" w:eastAsia="ＭＳ 明朝" w:cs="DejaVu Sans"/>
          <w:color w:val="FF0000"/>
          <w:sz w:val="21"/>
          <w:szCs w:val="22"/>
        </w:rPr>
      </w:pPr>
      <w:r>
        <w:rPr>
          <w:rFonts w:eastAsia="ＭＳ 明朝" w:cs="DejaVu Sans" w:ascii="Aptos" w:hAnsi="Aptos"/>
          <w:color w:val="FF0000"/>
          <w:sz w:val="21"/>
          <w:szCs w:val="22"/>
        </w:rPr>
        <w:t>sudo tail -f /var/log/gvm/ospd-openvas.log</w:t>
      </w:r>
    </w:p>
    <w:p>
      <w:pPr>
        <w:sectPr>
          <w:type w:val="continuous"/>
          <w:pgSz w:w="12240" w:h="15840"/>
          <w:pgMar w:left="1152" w:right="1152" w:gutter="0" w:header="0" w:top="1008" w:footer="0" w:bottom="1008"/>
          <w:formProt w:val="false"/>
          <w:textDirection w:val="lrTb"/>
          <w:docGrid w:type="default" w:linePitch="360" w:charSpace="0"/>
        </w:sectPr>
      </w:pPr>
    </w:p>
    <w:p>
      <w:pPr>
        <w:pStyle w:val="BodyText"/>
        <w:numPr>
          <w:ilvl w:val="0"/>
          <w:numId w:val="15"/>
        </w:numPr>
        <w:tabs>
          <w:tab w:val="clear" w:pos="720"/>
          <w:tab w:val="left" w:pos="0" w:leader="none"/>
        </w:tabs>
        <w:ind w:hanging="283" w:start="709"/>
        <w:rPr/>
      </w:pPr>
      <w:r>
        <w:rPr>
          <w:rStyle w:val="Strong"/>
        </w:rPr>
        <w:t>log manager</w:t>
      </w:r>
      <w:r>
        <w:rPr/>
        <w:t xml:space="preserve"> </w:t>
      </w:r>
    </w:p>
    <w:p>
      <w:pPr>
        <w:sectPr>
          <w:type w:val="continuous"/>
          <w:pgSz w:w="12240" w:h="15840"/>
          <w:pgMar w:left="1152" w:right="1152" w:gutter="0" w:header="0" w:top="1008" w:footer="0" w:bottom="1008"/>
          <w:pgNumType w:fmt="decimal"/>
          <w:formProt w:val="false"/>
          <w:textDirection w:val="lrTb"/>
          <w:docGrid w:type="default" w:linePitch="360" w:charSpace="0"/>
        </w:sectPr>
      </w:pPr>
    </w:p>
    <w:p>
      <w:pPr>
        <w:pStyle w:val="PreformattedText"/>
        <w:ind w:hanging="0" w:start="0" w:end="0"/>
        <w:rPr>
          <w:rFonts w:ascii="Aptos" w:hAnsi="Aptos" w:eastAsia="ＭＳ 明朝" w:cs="DejaVu Sans"/>
          <w:color w:val="FF0000"/>
          <w:sz w:val="21"/>
          <w:szCs w:val="22"/>
        </w:rPr>
      </w:pPr>
      <w:bookmarkStart w:id="0" w:name="code-block-viewer"/>
      <w:bookmarkEnd w:id="0"/>
      <w:r>
        <w:rPr>
          <w:rFonts w:eastAsia="ＭＳ 明朝" w:cs="DejaVu Sans" w:ascii="Aptos" w:hAnsi="Aptos"/>
          <w:color w:val="FF0000"/>
          <w:sz w:val="21"/>
          <w:szCs w:val="22"/>
        </w:rPr>
        <w:t>sudo tail -f /var/log/gvm/gvmd.log</w:t>
      </w:r>
    </w:p>
    <w:p>
      <w:pPr>
        <w:sectPr>
          <w:type w:val="continuous"/>
          <w:pgSz w:w="12240" w:h="15840"/>
          <w:pgMar w:left="1152" w:right="1152" w:gutter="0" w:header="0" w:top="1008" w:footer="0" w:bottom="1008"/>
          <w:formProt w:val="false"/>
          <w:textDirection w:val="lrTb"/>
          <w:docGrid w:type="default" w:linePitch="360" w:charSpace="0"/>
        </w:sectPr>
      </w:pPr>
    </w:p>
    <w:p>
      <w:pPr>
        <w:pStyle w:val="BodyText"/>
        <w:spacing w:before="0" w:after="120"/>
        <w:rPr/>
      </w:pPr>
      <w:r>
        <w:rPr/>
      </w:r>
    </w:p>
    <w:p>
      <w:pPr>
        <w:pStyle w:val="BodyText"/>
        <w:spacing w:before="0" w:after="120"/>
        <w:rPr/>
      </w:pPr>
      <w:r>
        <w:rPr/>
        <w:t>PARSER PER REPORT</w:t>
      </w:r>
    </w:p>
    <w:p>
      <w:pPr>
        <w:pStyle w:val="BodyText"/>
        <w:spacing w:before="0" w:after="120"/>
        <w:rPr/>
      </w:pPr>
      <w:r>
        <w:rPr>
          <w:color w:val="FF0000"/>
        </w:rPr>
        <w:t>chmod +x parse_openvas_report.sh</w:t>
      </w:r>
      <w:r>
        <w:rPr/>
        <w:br/>
      </w:r>
      <w:r>
        <w:rPr>
          <w:color w:val="FF0000"/>
        </w:rPr>
        <w:t>./parse_openvas_report.sh \</w:t>
        <w:br/>
        <w:t>engagements/CSA-001/assessment/openvas/raw/openvas_report.xml \</w:t>
        <w:br/>
        <w:t>engagements/CSA-001/assessment/openvas/parsed</w:t>
      </w:r>
    </w:p>
    <w:p>
      <w:pPr>
        <w:pStyle w:val="BodyText"/>
        <w:spacing w:before="0" w:after="120"/>
        <w:rPr/>
      </w:pPr>
      <w:r>
        <w:rPr/>
      </w:r>
    </w:p>
    <w:p>
      <w:pPr>
        <w:pStyle w:val="BodyText"/>
        <w:spacing w:before="0" w:after="120"/>
        <w:rPr/>
      </w:pPr>
      <w:r>
        <w:rPr/>
        <w:t>UNIONE DEI REPORT IN REPORT FINALE</w:t>
      </w:r>
    </w:p>
    <w:p>
      <w:pPr>
        <w:pStyle w:val="BodyText"/>
        <w:spacing w:before="0" w:after="120"/>
        <w:rPr>
          <w:color w:val="FF0000"/>
        </w:rPr>
      </w:pPr>
      <w:r>
        <w:rPr>
          <w:color w:val="FF0000"/>
        </w:rPr>
        <w:t>chmod +x generate_assessment_report_blocks2.sh</w:t>
        <w:br/>
        <w:t>./generate_assessment_report_blocks2.sh \</w:t>
        <w:br/>
        <w:t>engagements/CSA-001/assessment/reports/blocks1/assessment_blocks1.txt \</w:t>
        <w:br/>
        <w:t>engagements/CSA-001/assessment/openvas/parsed/openvas_parsed.json \</w:t>
        <w:br/>
        <w:t>engagements/CSA-001/assessment/reports/blocks2/assessment_blocks2.txt</w:t>
      </w:r>
    </w:p>
    <w:sectPr>
      <w:type w:val="continuous"/>
      <w:pgSz w:w="12240" w:h="15840"/>
      <w:pgMar w:left="1152" w:right="1152" w:gutter="0" w:header="0" w:top="1008" w:footer="0" w:bottom="100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Aptos">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OpenSymbol">
    <w:altName w:val="Arial Unicode MS"/>
    <w:charset w:val="02"/>
    <w:family w:val="auto"/>
    <w:pitch w:val="default"/>
  </w:font>
  <w:font w:name="Liberation Mono">
    <w:altName w:val="Courier New"/>
    <w:charset w:val="01" w:characterSet="utf-8"/>
    <w:family w:val="modern"/>
    <w:pitch w:val="fixed"/>
  </w:font>
  <w:font w:name="Liberation Sans">
    <w:altName w:val="Arial"/>
    <w:charset w:val="01" w:characterSet="utf-8"/>
    <w:family w:val="swiss"/>
    <w:pitch w:val="variable"/>
  </w:font>
  <w:font w:name="Liberation Mono">
    <w:altName w:val="Courier New"/>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3"/>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w="http://schemas.openxmlformats.org/wordprocessingml/2006/main">
  <w:zoom w:percent="90"/>
  <w:defaultTabStop w:val="720"/>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DejaVu Sans"/>
        <w:sz w:val="22"/>
        <w:szCs w:val="22"/>
        <w:lang w:val="en-US" w:eastAsia="en-US" w:bidi="ar-SA"/>
      </w:rPr>
    </w:rPrDefault>
    <w:pPrDefault>
      <w:pPr>
        <w:suppressAutoHyphens w:val="true"/>
      </w:pPr>
    </w:pPrDefault>
  </w:docDefaults>
  <w:style w:type="paragraph" w:styleId="Normal">
    <w:name w:val="Normal"/>
    <w:qFormat/>
    <w:pPr>
      <w:widowControl/>
      <w:suppressAutoHyphens w:val="true"/>
      <w:overflowPunct w:val="true"/>
      <w:bidi w:val="0"/>
      <w:spacing w:lineRule="auto" w:line="276" w:before="0" w:after="120"/>
      <w:jc w:val="start"/>
    </w:pPr>
    <w:rPr>
      <w:rFonts w:ascii="Aptos" w:hAnsi="Aptos" w:eastAsia="ＭＳ 明朝" w:cs="DejaVu Sans"/>
      <w:color w:val="auto"/>
      <w:kern w:val="0"/>
      <w:sz w:val="21"/>
      <w:szCs w:val="22"/>
      <w:lang w:val="en-US" w:eastAsia="en-US" w:bidi="ar-SA"/>
    </w:rPr>
  </w:style>
  <w:style w:type="paragraph" w:styleId="Heading1">
    <w:name w:val="heading 1"/>
    <w:basedOn w:val="Normal"/>
    <w:next w:val="Normal"/>
    <w:link w:val="Heading1Char"/>
    <w:qFormat/>
    <w:pPr>
      <w:keepNext w:val="true"/>
      <w:keepLines/>
      <w:numPr>
        <w:ilvl w:val="0"/>
        <w:numId w:val="0"/>
      </w:numPr>
      <w:spacing w:before="240" w:after="120"/>
      <w:outlineLvl w:val="0"/>
    </w:pPr>
    <w:rPr>
      <w:rFonts w:ascii="Calibri" w:hAnsi="Calibri" w:eastAsia="ＭＳ ゴシック" w:cs="DejaVu Sans"/>
      <w:b/>
      <w:bCs/>
      <w:color w:val="123456"/>
      <w:sz w:val="28"/>
      <w:szCs w:val="28"/>
    </w:rPr>
  </w:style>
  <w:style w:type="paragraph" w:styleId="Heading2">
    <w:name w:val="heading 2"/>
    <w:basedOn w:val="Normal"/>
    <w:next w:val="Normal"/>
    <w:link w:val="Heading2Char"/>
    <w:qFormat/>
    <w:pPr>
      <w:keepNext w:val="true"/>
      <w:keepLines/>
      <w:numPr>
        <w:ilvl w:val="0"/>
        <w:numId w:val="0"/>
      </w:numPr>
      <w:spacing w:before="160" w:after="60"/>
      <w:outlineLvl w:val="1"/>
    </w:pPr>
    <w:rPr>
      <w:rFonts w:ascii="Calibri" w:hAnsi="Calibri" w:eastAsia="ＭＳ ゴシック" w:cs="DejaVu Sans"/>
      <w:b/>
      <w:bCs/>
      <w:color w:val="3C3C3C"/>
      <w:sz w:val="23"/>
      <w:szCs w:val="26"/>
    </w:rPr>
  </w:style>
  <w:style w:type="paragraph" w:styleId="Heading3">
    <w:name w:val="heading 3"/>
    <w:basedOn w:val="Normal"/>
    <w:next w:val="Normal"/>
    <w:link w:val="Heading3Char"/>
    <w:qFormat/>
    <w:pPr>
      <w:keepNext w:val="true"/>
      <w:keepLines/>
      <w:numPr>
        <w:ilvl w:val="0"/>
        <w:numId w:val="0"/>
      </w:numPr>
      <w:spacing w:before="200" w:after="0"/>
      <w:outlineLvl w:val="2"/>
    </w:pPr>
    <w:rPr>
      <w:rFonts w:ascii="Calibri" w:hAnsi="Calibri" w:eastAsia="ＭＳ ゴシック" w:cs="DejaVu Sans"/>
      <w:b/>
      <w:bCs/>
      <w:color w:val="5A5A5A"/>
      <w:sz w:val="21"/>
    </w:rPr>
  </w:style>
  <w:style w:type="paragraph" w:styleId="Heading4">
    <w:name w:val="heading 4"/>
    <w:basedOn w:val="Normal"/>
    <w:next w:val="Normal"/>
    <w:link w:val="Heading4Char"/>
    <w:qFormat/>
    <w:pPr>
      <w:keepNext w:val="true"/>
      <w:keepLines/>
      <w:numPr>
        <w:ilvl w:val="0"/>
        <w:numId w:val="0"/>
      </w:numPr>
      <w:spacing w:before="200" w:after="0"/>
      <w:outlineLvl w:val="3"/>
    </w:pPr>
    <w:rPr>
      <w:rFonts w:ascii="Calibri" w:hAnsi="Calibri" w:eastAsia="ＭＳ ゴシック" w:cs="DejaVu Sans"/>
      <w:b/>
      <w:bCs/>
      <w:i/>
      <w:iCs/>
      <w:color w:themeColor="accent1" w:val="4F81BD"/>
    </w:rPr>
  </w:style>
  <w:style w:type="paragraph" w:styleId="Heading5">
    <w:name w:val="heading 5"/>
    <w:basedOn w:val="Normal"/>
    <w:next w:val="Normal"/>
    <w:link w:val="Heading5Char"/>
    <w:qFormat/>
    <w:pPr>
      <w:keepNext w:val="true"/>
      <w:keepLines/>
      <w:numPr>
        <w:ilvl w:val="0"/>
        <w:numId w:val="0"/>
      </w:numPr>
      <w:spacing w:before="200" w:after="0"/>
      <w:outlineLvl w:val="4"/>
    </w:pPr>
    <w:rPr>
      <w:rFonts w:ascii="Calibri" w:hAnsi="Calibri" w:eastAsia="ＭＳ ゴシック" w:cs="DejaVu Sans"/>
      <w:color w:themeColor="accent1" w:themeShade="7f" w:val="243F60"/>
    </w:rPr>
  </w:style>
  <w:style w:type="paragraph" w:styleId="Heading6">
    <w:name w:val="heading 6"/>
    <w:basedOn w:val="Normal"/>
    <w:next w:val="Normal"/>
    <w:link w:val="Heading6Char"/>
    <w:qFormat/>
    <w:pPr>
      <w:keepNext w:val="true"/>
      <w:keepLines/>
      <w:numPr>
        <w:ilvl w:val="0"/>
        <w:numId w:val="0"/>
      </w:numPr>
      <w:spacing w:before="200" w:after="0"/>
      <w:outlineLvl w:val="5"/>
    </w:pPr>
    <w:rPr>
      <w:rFonts w:ascii="Calibri" w:hAnsi="Calibri" w:eastAsia="ＭＳ ゴシック" w:cs="DejaVu Sans"/>
      <w:i/>
      <w:iCs/>
      <w:color w:themeColor="accent1" w:themeShade="7f" w:val="243F60"/>
    </w:rPr>
  </w:style>
  <w:style w:type="paragraph" w:styleId="Heading7">
    <w:name w:val="heading 7"/>
    <w:basedOn w:val="Normal"/>
    <w:next w:val="Normal"/>
    <w:link w:val="Heading7Char"/>
    <w:qFormat/>
    <w:pPr>
      <w:keepNext w:val="true"/>
      <w:keepLines/>
      <w:numPr>
        <w:ilvl w:val="0"/>
        <w:numId w:val="0"/>
      </w:numPr>
      <w:spacing w:before="200" w:after="0"/>
      <w:outlineLvl w:val="6"/>
    </w:pPr>
    <w:rPr>
      <w:rFonts w:ascii="Calibri" w:hAnsi="Calibri" w:eastAsia="ＭＳ ゴシック" w:cs="DejaVu Sans"/>
      <w:i/>
      <w:iCs/>
      <w:color w:themeColor="dark1" w:themeTint="bf" w:val="404040"/>
    </w:rPr>
  </w:style>
  <w:style w:type="paragraph" w:styleId="Heading8">
    <w:name w:val="heading 8"/>
    <w:basedOn w:val="Normal"/>
    <w:next w:val="Normal"/>
    <w:link w:val="Heading8Char"/>
    <w:qFormat/>
    <w:pPr>
      <w:keepNext w:val="true"/>
      <w:keepLines/>
      <w:numPr>
        <w:ilvl w:val="0"/>
        <w:numId w:val="0"/>
      </w:numPr>
      <w:spacing w:before="200" w:after="0"/>
      <w:outlineLvl w:val="7"/>
    </w:pPr>
    <w:rPr>
      <w:rFonts w:ascii="Calibri" w:hAnsi="Calibri" w:eastAsia="ＭＳ ゴシック" w:cs="DejaVu Sans"/>
      <w:color w:themeColor="accent1" w:val="4F81BD"/>
      <w:sz w:val="20"/>
      <w:szCs w:val="20"/>
    </w:rPr>
  </w:style>
  <w:style w:type="paragraph" w:styleId="Heading9">
    <w:name w:val="heading 9"/>
    <w:basedOn w:val="Normal"/>
    <w:next w:val="Normal"/>
    <w:link w:val="Heading9Char"/>
    <w:qFormat/>
    <w:pPr>
      <w:keepNext w:val="true"/>
      <w:keepLines/>
      <w:numPr>
        <w:ilvl w:val="0"/>
        <w:numId w:val="0"/>
      </w:numPr>
      <w:spacing w:before="200" w:after="0"/>
      <w:outlineLvl w:val="8"/>
    </w:pPr>
    <w:rPr>
      <w:rFonts w:ascii="Calibri" w:hAnsi="Calibri" w:eastAsia="ＭＳ ゴシック" w:cs="DejaVu Sans"/>
      <w:i/>
      <w:iCs/>
      <w:color w:themeColor="dark1" w:themeTint="bf" w:val="404040"/>
      <w:sz w:val="20"/>
      <w:szCs w:val="20"/>
    </w:rPr>
  </w:style>
  <w:style w:type="character" w:styleId="HeaderChar">
    <w:name w:val="Header Char"/>
    <w:basedOn w:val="DefaultParagraphFont"/>
    <w:link w:val="Header"/>
    <w:qFormat/>
    <w:rPr/>
  </w:style>
  <w:style w:type="character" w:styleId="FooterChar">
    <w:name w:val="Footer Char"/>
    <w:basedOn w:val="DefaultParagraphFont"/>
    <w:link w:val="Footer"/>
    <w:qFormat/>
    <w:rPr/>
  </w:style>
  <w:style w:type="character" w:styleId="DefaultParagraphFont">
    <w:name w:val="Default Paragraph Font"/>
    <w:qFormat/>
    <w:rPr/>
  </w:style>
  <w:style w:type="character" w:styleId="Heading1Char">
    <w:name w:val="Heading 1 Char"/>
    <w:basedOn w:val="DefaultParagraphFont"/>
    <w:link w:val="Heading1"/>
    <w:qFormat/>
    <w:rPr>
      <w:rFonts w:ascii="Calibri" w:hAnsi="Calibri" w:eastAsia="ＭＳ ゴシック" w:cs="DejaVu Sans"/>
      <w:b/>
      <w:bCs/>
      <w:color w:themeColor="accent1" w:themeShade="bf" w:val="365F91"/>
      <w:sz w:val="28"/>
      <w:szCs w:val="28"/>
    </w:rPr>
  </w:style>
  <w:style w:type="character" w:styleId="Heading2Char">
    <w:name w:val="Heading 2 Char"/>
    <w:basedOn w:val="DefaultParagraphFont"/>
    <w:link w:val="Heading2"/>
    <w:qFormat/>
    <w:rPr>
      <w:rFonts w:ascii="Calibri" w:hAnsi="Calibri" w:eastAsia="ＭＳ ゴシック" w:cs="DejaVu Sans"/>
      <w:b/>
      <w:bCs/>
      <w:color w:themeColor="accent1" w:val="4F81BD"/>
      <w:sz w:val="26"/>
      <w:szCs w:val="26"/>
    </w:rPr>
  </w:style>
  <w:style w:type="character" w:styleId="Heading3Char">
    <w:name w:val="Heading 3 Char"/>
    <w:basedOn w:val="DefaultParagraphFont"/>
    <w:link w:val="Heading3"/>
    <w:qFormat/>
    <w:rPr>
      <w:rFonts w:ascii="Calibri" w:hAnsi="Calibri" w:eastAsia="ＭＳ ゴシック" w:cs="DejaVu Sans"/>
      <w:b/>
      <w:bCs/>
      <w:color w:themeColor="accent1" w:val="4F81BD"/>
    </w:rPr>
  </w:style>
  <w:style w:type="character" w:styleId="TitleChar">
    <w:name w:val="Title Char"/>
    <w:basedOn w:val="DefaultParagraphFont"/>
    <w:link w:val="Title"/>
    <w:qFormat/>
    <w:rPr>
      <w:rFonts w:ascii="Calibri" w:hAnsi="Calibri" w:eastAsia="ＭＳ ゴシック" w:cs="DejaVu Sans"/>
      <w:color w:themeColor="dark2" w:themeShade="bf" w:val="17365D"/>
      <w:spacing w:val="5"/>
      <w:kern w:val="2"/>
      <w:sz w:val="52"/>
      <w:szCs w:val="52"/>
    </w:rPr>
  </w:style>
  <w:style w:type="character" w:styleId="SubtitleChar">
    <w:name w:val="Subtitle Char"/>
    <w:basedOn w:val="DefaultParagraphFont"/>
    <w:link w:val="Subtitle"/>
    <w:qFormat/>
    <w:rPr>
      <w:rFonts w:ascii="Calibri" w:hAnsi="Calibri" w:eastAsia="ＭＳ ゴシック" w:cs="DejaVu Sans"/>
      <w:i/>
      <w:iCs/>
      <w:color w:themeColor="accent1" w:val="4F81BD"/>
      <w:spacing w:val="15"/>
      <w:sz w:val="24"/>
      <w:szCs w:val="24"/>
    </w:rPr>
  </w:style>
  <w:style w:type="character" w:styleId="BodyTextChar">
    <w:name w:val="Body Text Char"/>
    <w:basedOn w:val="DefaultParagraphFont"/>
    <w:qFormat/>
    <w:rPr/>
  </w:style>
  <w:style w:type="character" w:styleId="BodyText2Char">
    <w:name w:val="Body Text 2 Char"/>
    <w:basedOn w:val="DefaultParagraphFont"/>
    <w:link w:val="BodyText2"/>
    <w:qFormat/>
    <w:rPr/>
  </w:style>
  <w:style w:type="character" w:styleId="BodyText3Char">
    <w:name w:val="Body Text 3 Char"/>
    <w:basedOn w:val="DefaultParagraphFont"/>
    <w:link w:val="BodyText3"/>
    <w:qFormat/>
    <w:rPr>
      <w:sz w:val="16"/>
      <w:szCs w:val="16"/>
    </w:rPr>
  </w:style>
  <w:style w:type="character" w:styleId="MacroTextChar">
    <w:name w:val="Macro Text Char"/>
    <w:basedOn w:val="DefaultParagraphFont"/>
    <w:link w:val="MacroText"/>
    <w:qFormat/>
    <w:rPr>
      <w:rFonts w:ascii="Courier" w:hAnsi="Courier"/>
      <w:sz w:val="20"/>
      <w:szCs w:val="20"/>
    </w:rPr>
  </w:style>
  <w:style w:type="character" w:styleId="QuoteChar">
    <w:name w:val="Quote Char"/>
    <w:basedOn w:val="DefaultParagraphFont"/>
    <w:link w:val="Quote"/>
    <w:qFormat/>
    <w:rPr>
      <w:i/>
      <w:iCs/>
      <w:color w:themeColor="dark1" w:val="000000"/>
    </w:rPr>
  </w:style>
  <w:style w:type="character" w:styleId="Heading4Char">
    <w:name w:val="Heading 4 Char"/>
    <w:basedOn w:val="DefaultParagraphFont"/>
    <w:link w:val="Heading4"/>
    <w:qFormat/>
    <w:rPr>
      <w:rFonts w:ascii="Calibri" w:hAnsi="Calibri" w:eastAsia="ＭＳ ゴシック" w:cs="DejaVu Sans"/>
      <w:b/>
      <w:bCs/>
      <w:i/>
      <w:iCs/>
      <w:color w:themeColor="accent1" w:val="4F81BD"/>
    </w:rPr>
  </w:style>
  <w:style w:type="character" w:styleId="Heading5Char">
    <w:name w:val="Heading 5 Char"/>
    <w:basedOn w:val="DefaultParagraphFont"/>
    <w:link w:val="Heading5"/>
    <w:qFormat/>
    <w:rPr>
      <w:rFonts w:ascii="Calibri" w:hAnsi="Calibri" w:eastAsia="ＭＳ ゴシック" w:cs="DejaVu Sans"/>
      <w:color w:themeColor="accent1" w:themeShade="7f" w:val="243F60"/>
    </w:rPr>
  </w:style>
  <w:style w:type="character" w:styleId="Heading6Char">
    <w:name w:val="Heading 6 Char"/>
    <w:basedOn w:val="DefaultParagraphFont"/>
    <w:link w:val="Heading6"/>
    <w:qFormat/>
    <w:rPr>
      <w:rFonts w:ascii="Calibri" w:hAnsi="Calibri" w:eastAsia="ＭＳ ゴシック" w:cs="DejaVu Sans"/>
      <w:i/>
      <w:iCs/>
      <w:color w:themeColor="accent1" w:themeShade="7f" w:val="243F60"/>
    </w:rPr>
  </w:style>
  <w:style w:type="character" w:styleId="Heading7Char">
    <w:name w:val="Heading 7 Char"/>
    <w:basedOn w:val="DefaultParagraphFont"/>
    <w:link w:val="Heading7"/>
    <w:qFormat/>
    <w:rPr>
      <w:rFonts w:ascii="Calibri" w:hAnsi="Calibri" w:eastAsia="ＭＳ ゴシック" w:cs="DejaVu Sans"/>
      <w:i/>
      <w:iCs/>
      <w:color w:themeColor="dark1" w:themeTint="bf" w:val="404040"/>
    </w:rPr>
  </w:style>
  <w:style w:type="character" w:styleId="Heading8Char">
    <w:name w:val="Heading 8 Char"/>
    <w:basedOn w:val="DefaultParagraphFont"/>
    <w:link w:val="Heading8"/>
    <w:qFormat/>
    <w:rPr>
      <w:rFonts w:ascii="Calibri" w:hAnsi="Calibri" w:eastAsia="ＭＳ ゴシック" w:cs="DejaVu Sans"/>
      <w:color w:themeColor="accent1" w:val="4F81BD"/>
      <w:sz w:val="20"/>
      <w:szCs w:val="20"/>
    </w:rPr>
  </w:style>
  <w:style w:type="character" w:styleId="Heading9Char">
    <w:name w:val="Heading 9 Char"/>
    <w:basedOn w:val="DefaultParagraphFont"/>
    <w:link w:val="Heading9"/>
    <w:qFormat/>
    <w:rPr>
      <w:rFonts w:ascii="Calibri" w:hAnsi="Calibri" w:eastAsia="ＭＳ ゴシック" w:cs="DejaVu Sans"/>
      <w:i/>
      <w:iCs/>
      <w:color w:themeColor="dark1" w:themeTint="bf" w:val="404040"/>
      <w:sz w:val="20"/>
      <w:szCs w:val="20"/>
    </w:rPr>
  </w:style>
  <w:style w:type="character" w:styleId="Strong">
    <w:name w:val="Strong"/>
    <w:basedOn w:val="DefaultParagraphFont"/>
    <w:qFormat/>
    <w:rPr>
      <w:b/>
      <w:bCs/>
    </w:rPr>
  </w:style>
  <w:style w:type="character" w:styleId="Emphasis">
    <w:name w:val="Emphasis"/>
    <w:basedOn w:val="DefaultParagraphFont"/>
    <w:qFormat/>
    <w:rPr>
      <w:i/>
      <w:iCs/>
    </w:rPr>
  </w:style>
  <w:style w:type="character" w:styleId="IntenseQuoteChar">
    <w:name w:val="Intense Quote Char"/>
    <w:basedOn w:val="DefaultParagraphFont"/>
    <w:link w:val="IntenseQuote"/>
    <w:qFormat/>
    <w:rPr>
      <w:b/>
      <w:bCs/>
      <w:i/>
      <w:iCs/>
      <w:color w:themeColor="accent1" w:val="4F81BD"/>
    </w:rPr>
  </w:style>
  <w:style w:type="character" w:styleId="SubtleEmphasis">
    <w:name w:val="Subtle Emphasis"/>
    <w:basedOn w:val="DefaultParagraphFont"/>
    <w:qFormat/>
    <w:rPr>
      <w:i/>
      <w:iCs/>
      <w:color w:themeColor="dark1" w:themeTint="7f" w:val="808080"/>
    </w:rPr>
  </w:style>
  <w:style w:type="character" w:styleId="IntenseEmphasis">
    <w:name w:val="Intense Emphasis"/>
    <w:basedOn w:val="DefaultParagraphFont"/>
    <w:qFormat/>
    <w:rPr>
      <w:b/>
      <w:bCs/>
      <w:i/>
      <w:iCs/>
      <w:color w:themeColor="accent1" w:val="4F81BD"/>
    </w:rPr>
  </w:style>
  <w:style w:type="character" w:styleId="SubtleReference">
    <w:name w:val="Subtle Reference"/>
    <w:basedOn w:val="DefaultParagraphFont"/>
    <w:qFormat/>
    <w:rPr>
      <w:smallCaps/>
      <w:color w:themeColor="accent2" w:val="C0504D"/>
      <w:u w:val="single"/>
    </w:rPr>
  </w:style>
  <w:style w:type="character" w:styleId="IntenseReference">
    <w:name w:val="Intense Reference"/>
    <w:basedOn w:val="DefaultParagraphFont"/>
    <w:qFormat/>
    <w:rPr>
      <w:b/>
      <w:bCs/>
      <w:smallCaps/>
      <w:color w:themeColor="accent2" w:val="C0504D"/>
      <w:spacing w:val="5"/>
      <w:u w:val="single"/>
    </w:rPr>
  </w:style>
  <w:style w:type="character" w:styleId="BookTitle">
    <w:name w:val="Book Title"/>
    <w:basedOn w:val="DefaultParagraphFont"/>
    <w:qFormat/>
    <w:rPr>
      <w:b/>
      <w:bCs/>
      <w:smallCaps/>
      <w:spacing w:val="5"/>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link w:val="BodyTextChar"/>
    <w:pPr>
      <w:spacing w:before="0" w:after="120"/>
    </w:pPr>
    <w:rPr/>
  </w:style>
  <w:style w:type="paragraph" w:styleId="List">
    <w:name w:val="List"/>
    <w:basedOn w:val="Normal"/>
    <w:pPr>
      <w:spacing w:before="0" w:after="120"/>
      <w:ind w:hanging="360" w:start="360"/>
      <w:contextualSpacing/>
    </w:pPr>
    <w:rPr/>
  </w:style>
  <w:style w:type="paragraph" w:styleId="Caption">
    <w:name w:val="caption"/>
    <w:basedOn w:val="Normal"/>
    <w:next w:val="Normal"/>
    <w:qFormat/>
    <w:pPr>
      <w:spacing w:lineRule="auto" w:line="240"/>
    </w:pPr>
    <w:rPr>
      <w:b/>
      <w:bCs/>
      <w:color w:themeColor="accent1" w:val="4F81BD"/>
      <w:sz w:val="18"/>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680" w:leader="none"/>
        <w:tab w:val="right" w:pos="9360" w:leader="none"/>
      </w:tabs>
      <w:spacing w:lineRule="auto" w:line="240" w:before="0" w:after="0"/>
    </w:pPr>
    <w:rPr/>
  </w:style>
  <w:style w:type="paragraph" w:styleId="Footer">
    <w:name w:val="footer"/>
    <w:basedOn w:val="Normal"/>
    <w:link w:val="FooterChar"/>
    <w:pPr>
      <w:tabs>
        <w:tab w:val="clear" w:pos="720"/>
        <w:tab w:val="center" w:pos="4680" w:leader="none"/>
        <w:tab w:val="right" w:pos="9360" w:leader="none"/>
      </w:tabs>
      <w:spacing w:lineRule="auto" w:line="240" w:before="0" w:after="0"/>
    </w:pPr>
    <w:rPr/>
  </w:style>
  <w:style w:type="paragraph" w:styleId="NoSpacing">
    <w:name w:val="No Spacing"/>
    <w:qFormat/>
    <w:pPr>
      <w:widowControl/>
      <w:suppressAutoHyphens w:val="true"/>
      <w:overflowPunct w:val="true"/>
      <w:bidi w:val="0"/>
      <w:spacing w:lineRule="auto" w:line="240" w:before="0" w:after="0"/>
      <w:jc w:val="start"/>
    </w:pPr>
    <w:rPr>
      <w:rFonts w:ascii="Cambria" w:hAnsi="Cambria" w:eastAsia="ＭＳ 明朝" w:cs="DejaVu Sans"/>
      <w:color w:val="auto"/>
      <w:kern w:val="0"/>
      <w:sz w:val="22"/>
      <w:szCs w:val="22"/>
      <w:lang w:val="en-US" w:eastAsia="en-US" w:bidi="ar-SA"/>
    </w:rPr>
  </w:style>
  <w:style w:type="paragraph" w:styleId="Title">
    <w:name w:val="Title"/>
    <w:basedOn w:val="Normal"/>
    <w:next w:val="Normal"/>
    <w:link w:val="TitleChar"/>
    <w:qFormat/>
    <w:pPr>
      <w:pBdr>
        <w:bottom w:val="single" w:sz="8" w:space="4" w:color="4F81BD"/>
      </w:pBdr>
      <w:spacing w:lineRule="auto" w:line="240" w:before="0" w:after="80"/>
      <w:contextualSpacing/>
    </w:pPr>
    <w:rPr>
      <w:rFonts w:ascii="Calibri" w:hAnsi="Calibri" w:eastAsia="ＭＳ ゴシック" w:cs="DejaVu Sans"/>
      <w:b/>
      <w:color w:val="123456"/>
      <w:spacing w:val="5"/>
      <w:kern w:val="2"/>
      <w:sz w:val="44"/>
      <w:szCs w:val="52"/>
    </w:rPr>
  </w:style>
  <w:style w:type="paragraph" w:styleId="Subtitle">
    <w:name w:val="Subtitle"/>
    <w:basedOn w:val="Normal"/>
    <w:next w:val="Normal"/>
    <w:link w:val="SubtitleChar"/>
    <w:qFormat/>
    <w:pPr>
      <w:spacing w:before="0" w:after="320"/>
    </w:pPr>
    <w:rPr>
      <w:rFonts w:ascii="Calibri" w:hAnsi="Calibri" w:eastAsia="ＭＳ ゴシック" w:cs="DejaVu Sans"/>
      <w:i/>
      <w:iCs/>
      <w:color w:val="5A5A5A"/>
      <w:spacing w:val="15"/>
      <w:sz w:val="22"/>
      <w:szCs w:val="24"/>
    </w:rPr>
  </w:style>
  <w:style w:type="paragraph" w:styleId="ListParagraph">
    <w:name w:val="List Paragraph"/>
    <w:basedOn w:val="Normal"/>
    <w:qFormat/>
    <w:pPr>
      <w:spacing w:before="0" w:after="120"/>
      <w:ind w:start="720"/>
      <w:contextualSpacing/>
    </w:pPr>
    <w:rPr/>
  </w:style>
  <w:style w:type="paragraph" w:styleId="BodyText2">
    <w:name w:val="Body Text 2"/>
    <w:basedOn w:val="Normal"/>
    <w:link w:val="BodyText2Char"/>
    <w:qFormat/>
    <w:pPr>
      <w:spacing w:lineRule="auto" w:line="480" w:before="0" w:after="120"/>
    </w:pPr>
    <w:rPr/>
  </w:style>
  <w:style w:type="paragraph" w:styleId="BodyText3">
    <w:name w:val="Body Text 3"/>
    <w:basedOn w:val="Normal"/>
    <w:link w:val="BodyText3Char"/>
    <w:qFormat/>
    <w:pPr>
      <w:spacing w:before="0" w:after="120"/>
    </w:pPr>
    <w:rPr>
      <w:sz w:val="16"/>
      <w:szCs w:val="16"/>
    </w:rPr>
  </w:style>
  <w:style w:type="paragraph" w:styleId="List2">
    <w:name w:val="List 2"/>
    <w:basedOn w:val="Normal"/>
    <w:qFormat/>
    <w:pPr>
      <w:spacing w:before="0" w:after="120"/>
      <w:ind w:hanging="360" w:start="720"/>
      <w:contextualSpacing/>
    </w:pPr>
    <w:rPr/>
  </w:style>
  <w:style w:type="paragraph" w:styleId="List3">
    <w:name w:val="List 3"/>
    <w:basedOn w:val="Normal"/>
    <w:qFormat/>
    <w:pPr>
      <w:spacing w:before="0" w:after="120"/>
      <w:ind w:hanging="360" w:start="1080"/>
      <w:contextualSpacing/>
    </w:pPr>
    <w:rPr/>
  </w:style>
  <w:style w:type="paragraph" w:styleId="ListBullet">
    <w:name w:val="List Bullet"/>
    <w:basedOn w:val="Normal"/>
    <w:pPr>
      <w:numPr>
        <w:ilvl w:val="0"/>
        <w:numId w:val="1"/>
      </w:numPr>
      <w:spacing w:before="0" w:after="120"/>
      <w:contextualSpacing/>
    </w:pPr>
    <w:rPr/>
  </w:style>
  <w:style w:type="paragraph" w:styleId="ListBullet2">
    <w:name w:val="List Bullet 2"/>
    <w:basedOn w:val="Normal"/>
    <w:pPr>
      <w:numPr>
        <w:ilvl w:val="0"/>
        <w:numId w:val="2"/>
      </w:numPr>
      <w:spacing w:before="0" w:after="120"/>
      <w:contextualSpacing/>
    </w:pPr>
    <w:rPr/>
  </w:style>
  <w:style w:type="paragraph" w:styleId="ListBullet3">
    <w:name w:val="List Bullet 3"/>
    <w:basedOn w:val="Normal"/>
    <w:pPr>
      <w:numPr>
        <w:ilvl w:val="0"/>
        <w:numId w:val="3"/>
      </w:numPr>
      <w:spacing w:before="0" w:after="120"/>
      <w:contextualSpacing/>
    </w:pPr>
    <w:rPr/>
  </w:style>
  <w:style w:type="paragraph" w:styleId="ListNumber">
    <w:name w:val="List Number"/>
    <w:basedOn w:val="Normal"/>
    <w:pPr>
      <w:numPr>
        <w:ilvl w:val="0"/>
        <w:numId w:val="4"/>
      </w:numPr>
      <w:spacing w:before="0" w:after="120"/>
      <w:contextualSpacing/>
    </w:pPr>
    <w:rPr/>
  </w:style>
  <w:style w:type="paragraph" w:styleId="ListNumber2">
    <w:name w:val="List Number 2"/>
    <w:basedOn w:val="Normal"/>
    <w:pPr>
      <w:numPr>
        <w:ilvl w:val="0"/>
        <w:numId w:val="5"/>
      </w:numPr>
      <w:spacing w:before="0" w:after="120"/>
      <w:contextualSpacing/>
    </w:pPr>
    <w:rPr/>
  </w:style>
  <w:style w:type="paragraph" w:styleId="ListNumber3">
    <w:name w:val="List Number 3"/>
    <w:basedOn w:val="Normal"/>
    <w:pPr>
      <w:numPr>
        <w:ilvl w:val="0"/>
        <w:numId w:val="6"/>
      </w:numPr>
      <w:spacing w:before="0" w:after="120"/>
      <w:contextualSpacing/>
    </w:pPr>
    <w:rPr/>
  </w:style>
  <w:style w:type="paragraph" w:styleId="ListContinue">
    <w:name w:val="List Continue"/>
    <w:basedOn w:val="Normal"/>
    <w:pPr>
      <w:spacing w:before="0" w:after="120"/>
      <w:ind w:start="360"/>
      <w:contextualSpacing/>
    </w:pPr>
    <w:rPr/>
  </w:style>
  <w:style w:type="paragraph" w:styleId="ListContinue2">
    <w:name w:val="List Continue 2"/>
    <w:basedOn w:val="Normal"/>
    <w:pPr>
      <w:spacing w:before="0" w:after="120"/>
      <w:ind w:start="720"/>
      <w:contextualSpacing/>
    </w:pPr>
    <w:rPr/>
  </w:style>
  <w:style w:type="paragraph" w:styleId="ListContinue3">
    <w:name w:val="List Continue 3"/>
    <w:basedOn w:val="Normal"/>
    <w:pPr>
      <w:spacing w:before="0" w:after="120"/>
      <w:ind w:start="1080"/>
      <w:contextualSpacing/>
    </w:pPr>
    <w:rPr/>
  </w:style>
  <w:style w:type="paragraph" w:styleId="MacroText">
    <w:name w:val="macro"/>
    <w:link w:val="MacroTextChar"/>
    <w:qFormat/>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overflowPunct w:val="true"/>
      <w:bidi w:val="0"/>
      <w:spacing w:lineRule="auto" w:line="276" w:before="0" w:after="200"/>
      <w:jc w:val="start"/>
    </w:pPr>
    <w:rPr>
      <w:rFonts w:ascii="Courier" w:hAnsi="Courier" w:eastAsia="ＭＳ 明朝" w:cs="DejaVu Sans"/>
      <w:color w:val="auto"/>
      <w:kern w:val="0"/>
      <w:sz w:val="20"/>
      <w:szCs w:val="20"/>
      <w:lang w:val="en-US" w:eastAsia="en-US" w:bidi="ar-SA"/>
    </w:rPr>
  </w:style>
  <w:style w:type="paragraph" w:styleId="Quote">
    <w:name w:val="Quote"/>
    <w:basedOn w:val="Normal"/>
    <w:next w:val="Normal"/>
    <w:link w:val="QuoteChar"/>
    <w:qFormat/>
    <w:pPr/>
    <w:rPr>
      <w:i/>
      <w:iCs/>
      <w:color w:themeColor="dark1" w:val="000000"/>
    </w:rPr>
  </w:style>
  <w:style w:type="paragraph" w:styleId="IntenseQuote">
    <w:name w:val="Intense Quote"/>
    <w:basedOn w:val="Normal"/>
    <w:next w:val="Normal"/>
    <w:link w:val="IntenseQuoteChar"/>
    <w:qFormat/>
    <w:pPr>
      <w:pBdr>
        <w:bottom w:val="single" w:sz="4" w:space="4" w:color="4F81BD"/>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qFormat/>
    <w:pPr>
      <w:outlineLvl w:val="9"/>
    </w:pPr>
    <w:rPr/>
  </w:style>
  <w:style w:type="paragraph" w:styleId="TableContents">
    <w:name w:val="Table Contents"/>
    <w:basedOn w:val="Normal"/>
    <w:qFormat/>
    <w:pPr>
      <w:widowControl w:val="false"/>
      <w:suppressLineNumbers/>
    </w:pP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182</TotalTime>
  <Application>LibreOffice/26.2.1.2$Linux_X86_64 LibreOffice_project/620$Build-2</Application>
  <AppVersion>15.0000</AppVersion>
  <Pages>11</Pages>
  <Words>2062</Words>
  <Characters>13336</Characters>
  <CharactersWithSpaces>15169</CharactersWithSpaces>
  <Paragraphs>275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2026-03-24T13:34:42Z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file>