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0F1115"/>
          <w:sz w:val="46"/>
        </w:rPr>
        <w:t>ZBFOX - Cyber Security Assessment</w:t>
      </w:r>
    </w:p>
    <w:p>
      <w:pPr>
        <w:jc w:val="center"/>
      </w:pPr>
      <w:r>
        <w:rPr>
          <w:rFonts w:ascii="Aptos Display" w:hAnsi="Aptos Display"/>
          <w:b/>
          <w:color w:val="F28C28"/>
          <w:sz w:val="23"/>
        </w:rPr>
        <w:t>UNDERSTAND THE RISK. BUILD THE DEFENCE</w:t>
      </w:r>
    </w:p>
    <w:p>
      <w:pPr>
        <w:spacing w:after="360"/>
        <w:jc w:val="center"/>
        <w:pBdr>
          <w:bottom w:val="single" w:sz="12" w:space="1" w:color="23C7D9"/>
        </w:pBdr>
      </w:pPr>
      <w:r/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Molte organizzazioni hanno già una rete interna attiva, sistemi esposti solo in LAN, servizi di amministrazione, protocolli legacy e asset che supportano l'operatività quotidiana, ma non dispongono di una lettura ordinata della propria postura di sicurezza interna.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Sanno che esistono host, porte aperte, servizi, vulnerabilità note o configurazioni deboli, ma spesso non hanno ancora una base tecnica sufficientemente chiara per capire dove intervenire prima, cosa meriti priorità e quale livello di rischio stia emergendo davvero.</w:t>
      </w:r>
    </w:p>
    <w:p>
      <w:pPr>
        <w:spacing w:after="140" w:line="276" w:lineRule="auto"/>
      </w:pPr>
      <w:r>
        <w:t>Cyber Security Assessment è il pacchetto ZBFOX progettato per offrire una valutazione tecnica e consulenziale della postura di sicurezza interna. Organizza discovery, enumerazione tecnica, vulnerability assessment e lettura operativa in un quadro strutturato, leggibile e orientato alla decisione.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B2430"/>
                <w:sz w:val="21"/>
              </w:rPr>
              <w:t>In termini semplici, il Cyber Security Assessment consente di passare da una mera percezione della superficie digitale a una valutazione più strutturata della postura interna, della vulnerabilità rilevata e delle priorità tecniche da affrontare.</w:t>
            </w:r>
          </w:p>
        </w:tc>
      </w:tr>
    </w:tbl>
    <w:p>
      <w:r>
        <w:rPr>
          <w:rFonts w:ascii="Aptos Display" w:hAnsi="Aptos Display"/>
          <w:b/>
          <w:color w:val="0F1115"/>
          <w:sz w:val="30"/>
        </w:rPr>
        <w:t>Cos’è Cyber Security Assessment</w:t>
      </w:r>
    </w:p>
    <w:p>
      <w:pPr>
        <w:spacing w:after="160"/>
        <w:pBdr>
          <w:bottom w:val="single" w:sz="8" w:space="1" w:color="F28C28"/>
        </w:pBdr>
      </w:pPr>
      <w:r/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Cyber Security Assessment è un servizio tecnico e consulenziale orientato alla rete interna e ai sistemi autorizzati, pensato per aiutare un’organizzazione a comprendere non soltanto cosa sia attivo o esposto, ma anche quali debolezze risultino rilevabili e quali implicazioni operative ne derivino.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Il pacchetto integra in modo coerente più fasi: apertura dell’engagement, definizione del perimetro, discovery interna, enumerazione tecnica, esecuzione di vulnerability assessment non intrusivo, consolidamento dei risultati e lettura finale consulenziale.</w:t>
      </w:r>
    </w:p>
    <w:p>
      <w:pPr>
        <w:spacing w:after="140" w:line="276" w:lineRule="auto"/>
      </w:pPr>
      <w:r>
        <w:t>Non nasce per svolgere exploitation, attacchi simulati o attività invasive. Nasce per costruire una base tecnica solida, seria e utilizzabile per comprendere esposizioni, vulnerabilità rilevabili e priorità di intervento nel perimetro autorizzato.</w:t>
      </w:r>
    </w:p>
    <w:p>
      <w:r>
        <w:rPr>
          <w:rFonts w:ascii="Aptos Display" w:hAnsi="Aptos Display"/>
          <w:b/>
          <w:color w:val="0F1115"/>
          <w:sz w:val="30"/>
        </w:rPr>
        <w:t>Obiettivo del servizio</w:t>
      </w:r>
    </w:p>
    <w:p>
      <w:pPr>
        <w:spacing w:after="160"/>
        <w:pBdr>
          <w:bottom w:val="single" w:sz="8" w:space="1" w:color="F28C28"/>
        </w:pBdr>
      </w:pPr>
      <w:r/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L’obiettivo del pacchetto non è semplicemente elencare host o porte, ma capire con maggiore profondità quali esposizioni, vulnerabilità e pattern di debolezza siano presenti nella rete osservata e quali priorità operative convenga fissare.</w:t>
      </w:r>
    </w:p>
    <w:p>
      <w:pPr>
        <w:pStyle w:val="ListBullet"/>
      </w:pPr>
      <w:r>
        <w:rPr>
          <w:color w:val="1B2430"/>
          <w:sz w:val="21"/>
        </w:rPr>
        <w:t>quali host interni risultano effettivamente attivi e rilevanti;</w:t>
      </w:r>
    </w:p>
    <w:p>
      <w:pPr>
        <w:pStyle w:val="ListBullet"/>
      </w:pPr>
      <w:r>
        <w:rPr>
          <w:color w:val="1B2430"/>
          <w:sz w:val="21"/>
        </w:rPr>
        <w:t>quali servizi sono esposti tra sistemi interni e su quali porte;</w:t>
      </w:r>
    </w:p>
    <w:p>
      <w:pPr>
        <w:pStyle w:val="ListBullet"/>
      </w:pPr>
      <w:r>
        <w:rPr>
          <w:color w:val="1B2430"/>
          <w:sz w:val="21"/>
        </w:rPr>
        <w:t>se emergono protocolli legacy, accessi remoti, file sharing o componenti di gestione da trattare con attenzione;</w:t>
      </w:r>
    </w:p>
    <w:p>
      <w:pPr>
        <w:pStyle w:val="ListBullet"/>
      </w:pPr>
      <w:r>
        <w:rPr>
          <w:color w:val="1B2430"/>
          <w:sz w:val="21"/>
        </w:rPr>
        <w:t>quali vulnerabilità note o condizioni tecniche deboli risultano rilevabili tramite vulnerability assessment;</w:t>
      </w:r>
    </w:p>
    <w:p>
      <w:pPr>
        <w:pStyle w:val="ListBullet"/>
      </w:pPr>
      <w:r>
        <w:rPr>
          <w:color w:val="1B2430"/>
          <w:sz w:val="21"/>
        </w:rPr>
        <w:t>quali sistemi concentrano il maggior numero di evidenze o il livello di rischio più alto;</w:t>
      </w:r>
    </w:p>
    <w:p>
      <w:pPr>
        <w:pStyle w:val="ListBullet"/>
      </w:pPr>
      <w:r>
        <w:rPr>
          <w:color w:val="1B2430"/>
          <w:sz w:val="21"/>
        </w:rPr>
        <w:t>quali prime priorità di remediation o validazione convenga considerare.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Il valore del servizio non risiede quindi solo nella raccolta tecnica, ma soprattutto nella capacità di trasformare l’osservato in una lettura più matura della postura interna e in un punto di partenza credibile per decisioni successive.</w:t>
      </w:r>
    </w:p>
    <w:p>
      <w:r>
        <w:t>Approccio del pacchetto</w:t>
      </w:r>
    </w:p>
    <w:p>
      <w:pPr>
        <w:spacing w:after="160"/>
        <w:pBdr>
          <w:bottom w:val="single" w:sz="8" w:space="1" w:color="F28C28"/>
        </w:pBdr>
      </w:pPr>
      <w:r/>
    </w:p>
    <w:p>
      <w:pPr>
        <w:spacing w:after="140" w:line="276" w:lineRule="auto"/>
      </w:pPr>
      <w:r>
        <w:t>Cyber Security Assessment adotta un approccio tecnico-consulenziale centrato sulla rete interna e sui sistemi autorizzati. L’obiettivo non è accumulare output di scansione, ma trasformare discovery, enumerazione e vulnerability assessment in una lettura coerente della postura interna, dei punti di debolezza rilevabili e delle priorità iniziali di remediation. Ogni evidenza viene quindi ricondotta a contesto, impatto potenziale e priorità operativa, così da produrre un deliverable utile sia per il confronto tecnico sia per il decision making interno.</w:t>
      </w:r>
    </w:p>
    <w:p>
      <w:r>
        <w:rPr>
          <w:rFonts w:ascii="Aptos Display" w:hAnsi="Aptos Display"/>
          <w:b/>
          <w:color w:val="0F1115"/>
          <w:sz w:val="30"/>
        </w:rPr>
        <w:t>Cosa include</w:t>
      </w:r>
    </w:p>
    <w:p>
      <w:pPr>
        <w:spacing w:after="160"/>
        <w:pBdr>
          <w:bottom w:val="single" w:sz="8" w:space="1" w:color="F28C28"/>
        </w:pBdr>
      </w:pPr>
      <w:r/>
    </w:p>
    <w:p>
      <w:pPr>
        <w:pStyle w:val="ListBullet"/>
      </w:pPr>
      <w:r>
        <w:rPr>
          <w:color w:val="1B2430"/>
          <w:sz w:val="21"/>
        </w:rPr>
        <w:t>apertura e strutturazione dell’engagement;</w:t>
      </w:r>
    </w:p>
    <w:p>
      <w:pPr>
        <w:pStyle w:val="ListBullet"/>
      </w:pPr>
      <w:r>
        <w:rPr>
          <w:color w:val="1B2430"/>
          <w:sz w:val="21"/>
        </w:rPr>
        <w:t>definizione del perimetro autorizzato di assessment;</w:t>
      </w:r>
    </w:p>
    <w:p>
      <w:pPr>
        <w:pStyle w:val="ListBullet"/>
      </w:pPr>
      <w:r>
        <w:rPr>
          <w:color w:val="1B2430"/>
          <w:sz w:val="21"/>
        </w:rPr>
        <w:t>discovery interna degli host e dei servizi rilevabili;</w:t>
      </w:r>
    </w:p>
    <w:p>
      <w:pPr>
        <w:pStyle w:val="ListBullet"/>
      </w:pPr>
      <w:r>
        <w:rPr>
          <w:color w:val="1B2430"/>
          <w:sz w:val="21"/>
        </w:rPr>
        <w:t>enumerazione tecnica più approfondita dei servizi osservati;</w:t>
      </w:r>
    </w:p>
    <w:p>
      <w:pPr>
        <w:pStyle w:val="ListBullet"/>
      </w:pPr>
      <w:r>
        <w:rPr>
          <w:color w:val="1B2430"/>
          <w:sz w:val="21"/>
        </w:rPr>
        <w:t>vulnerability assessment tramite motore dedicato in modalità non intrusiva;</w:t>
      </w:r>
    </w:p>
    <w:p>
      <w:pPr>
        <w:pStyle w:val="ListBullet"/>
      </w:pPr>
      <w:r>
        <w:rPr>
          <w:color w:val="1B2430"/>
          <w:sz w:val="21"/>
        </w:rPr>
        <w:t>normalizzazione e consolidamento dei risultati raccolti;</w:t>
      </w:r>
    </w:p>
    <w:p>
      <w:pPr>
        <w:pStyle w:val="ListBullet"/>
      </w:pPr>
      <w:r>
        <w:rPr>
          <w:color w:val="1B2430"/>
          <w:sz w:val="21"/>
        </w:rPr>
        <w:t>identificazione degli elementi di attenzione più rilevanti;</w:t>
      </w:r>
    </w:p>
    <w:p>
      <w:pPr>
        <w:pStyle w:val="ListBullet"/>
      </w:pPr>
      <w:r>
        <w:rPr>
          <w:color w:val="1B2430"/>
          <w:sz w:val="21"/>
        </w:rPr>
        <w:t>lettura finale consulenziale da parte di ZBFOX, con priorità e orientamento operativo.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Il pacchetto non si limita quindi a restituire output grezzi o report automatici del tool, ma organizza le informazioni in un deliverable più leggibile, più umano e più utile alla decisione.</w:t>
      </w:r>
    </w:p>
    <w:p>
      <w:r>
        <w:rPr>
          <w:rFonts w:ascii="Aptos Display" w:hAnsi="Aptos Display"/>
          <w:b/>
          <w:color w:val="0F1115"/>
          <w:sz w:val="30"/>
        </w:rPr>
        <w:t>Modalità operativa</w:t>
      </w:r>
    </w:p>
    <w:p>
      <w:pPr>
        <w:spacing w:after="160"/>
        <w:pBdr>
          <w:bottom w:val="single" w:sz="8" w:space="1" w:color="F28C28"/>
        </w:pBdr>
      </w:pPr>
      <w:r/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Il Cyber Security Assessment è pensato come servizio LAN / internal. Si applica su subnet o segmenti espressamente autorizzati e mira a comprendere sia la superficie interna sia la vulnerabilità associata ai sistemi osservati.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L’assessment mantiene un approccio prudente: non comprende exploitation, brute force, lateral movement simulato, privilege escalation o remediation operativa. L’obiettivo è valutativo e consulenziale, non offensivo.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In termini metodologici, il flusso tipico comprende discovery, enumerazione, esecuzione VA, parsing dei risultati, costruzione del report tecnico-consulenziale e revisione finale umana prima della consegna.</w:t>
      </w:r>
    </w:p>
    <w:p>
      <w:r>
        <w:rPr>
          <w:rFonts w:ascii="Aptos Display" w:hAnsi="Aptos Display"/>
          <w:b/>
          <w:color w:val="0F1115"/>
          <w:sz w:val="30"/>
        </w:rPr>
        <w:t>Deliverable</w:t>
      </w:r>
    </w:p>
    <w:p>
      <w:pPr>
        <w:spacing w:after="160"/>
        <w:pBdr>
          <w:bottom w:val="single" w:sz="8" w:space="1" w:color="F28C28"/>
        </w:pBdr>
      </w:pPr>
      <w:r/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Il cliente riceve un output strutturato che comprende, in forma ordinata e leggibile:</w:t>
      </w:r>
    </w:p>
    <w:p>
      <w:pPr>
        <w:pStyle w:val="ListBullet"/>
      </w:pPr>
      <w:r>
        <w:rPr>
          <w:color w:val="1B2430"/>
          <w:sz w:val="21"/>
        </w:rPr>
        <w:t>panoramica degli host e dei servizi rilevati nel perimetro autorizzato;</w:t>
      </w:r>
    </w:p>
    <w:p>
      <w:pPr>
        <w:pStyle w:val="ListBullet"/>
      </w:pPr>
      <w:r>
        <w:rPr>
          <w:color w:val="1B2430"/>
          <w:sz w:val="21"/>
        </w:rPr>
        <w:t>sintesi delle principali vulnerabilità e delle evidenze più rilevanti;</w:t>
      </w:r>
    </w:p>
    <w:p>
      <w:pPr>
        <w:pStyle w:val="ListBullet"/>
      </w:pPr>
      <w:r>
        <w:rPr>
          <w:color w:val="1B2430"/>
          <w:sz w:val="21"/>
        </w:rPr>
        <w:t>distribuzione delle criticità per IP, servizio o sistema osservato;</w:t>
      </w:r>
    </w:p>
    <w:p>
      <w:pPr>
        <w:pStyle w:val="ListBullet"/>
      </w:pPr>
      <w:r>
        <w:rPr>
          <w:color w:val="1B2430"/>
          <w:sz w:val="21"/>
        </w:rPr>
        <w:t>lettura del livello di esposizione e della postura interna emersa;</w:t>
      </w:r>
    </w:p>
    <w:p>
      <w:pPr>
        <w:pStyle w:val="ListBullet"/>
      </w:pPr>
      <w:r>
        <w:rPr>
          <w:color w:val="1B2430"/>
          <w:sz w:val="21"/>
        </w:rPr>
        <w:t>priorità di intervento iniziali e indicazioni per la remediation successiva;</w:t>
      </w:r>
    </w:p>
    <w:p>
      <w:pPr>
        <w:pStyle w:val="ListBullet"/>
      </w:pPr>
      <w:r>
        <w:rPr>
          <w:color w:val="1B2430"/>
          <w:sz w:val="21"/>
        </w:rPr>
        <w:t>eventuali limiti, timeout o cautele metodologiche da considerare nella lettura del report.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Il deliverable è pensato per essere tecnicamente fondato, ma anche concretamente utilizzabile da chi deve decidere, pianificare interventi o chiedere ulteriori approfondimenti.</w:t>
      </w:r>
    </w:p>
    <w:p>
      <w:r>
        <w:rPr>
          <w:rFonts w:ascii="Aptos Display" w:hAnsi="Aptos Display"/>
          <w:b/>
          <w:color w:val="0F1115"/>
          <w:sz w:val="30"/>
        </w:rPr>
        <w:t>A chi è adatto</w:t>
      </w:r>
    </w:p>
    <w:p>
      <w:pPr>
        <w:spacing w:after="160"/>
        <w:pBdr>
          <w:bottom w:val="single" w:sz="8" w:space="1" w:color="F28C28"/>
        </w:pBdr>
      </w:pPr>
      <w:r/>
    </w:p>
    <w:p>
      <w:pPr>
        <w:pStyle w:val="ListBullet"/>
      </w:pPr>
      <w:r>
        <w:rPr>
          <w:color w:val="1B2430"/>
          <w:sz w:val="21"/>
        </w:rPr>
        <w:t>organizzazioni che hanno già una rete interna attiva ma non dispongono di una valutazione ordinata della propria postura di sicurezza;</w:t>
      </w:r>
    </w:p>
    <w:p>
      <w:pPr>
        <w:pStyle w:val="ListBullet"/>
      </w:pPr>
      <w:r>
        <w:t>realtà che vogliono una lettura tecnica ordinata della vulnerabilità interna senza ricorrere a metodologie intrusive o offensive;</w:t>
      </w:r>
    </w:p>
    <w:p>
      <w:pPr>
        <w:pStyle w:val="ListBullet"/>
      </w:pPr>
      <w:r>
        <w:rPr>
          <w:color w:val="1B2430"/>
          <w:sz w:val="21"/>
        </w:rPr>
        <w:t>contesti che necessitano di una base tecnica più strutturata per definire priorità di hardening e remediation;</w:t>
      </w:r>
    </w:p>
    <w:p>
      <w:pPr>
        <w:pStyle w:val="ListBullet"/>
      </w:pPr>
      <w:r>
        <w:rPr>
          <w:color w:val="1B2430"/>
          <w:sz w:val="21"/>
        </w:rPr>
        <w:t>clienti che desiderano capire quali sistemi concentrano il maggior livello di rischio o il maggior numero di evidenze rilevanti;</w:t>
      </w:r>
    </w:p>
    <w:p>
      <w:pPr>
        <w:pStyle w:val="ListBullet"/>
      </w:pPr>
      <w:r>
        <w:rPr>
          <w:color w:val="1B2430"/>
          <w:sz w:val="21"/>
        </w:rPr>
        <w:t>organizzazioni che vogliono una lettura credibile e sostenibile prima di eventuali assessment ancora più approfonditi.</w:t>
      </w:r>
    </w:p>
    <w:p>
      <w:r>
        <w:rPr>
          <w:rFonts w:ascii="Aptos Display" w:hAnsi="Aptos Display"/>
          <w:b/>
          <w:color w:val="0F1115"/>
          <w:sz w:val="30"/>
        </w:rPr>
        <w:t>Perché è utile al cliente</w:t>
      </w:r>
    </w:p>
    <w:p>
      <w:pPr>
        <w:spacing w:after="160"/>
        <w:pBdr>
          <w:bottom w:val="single" w:sz="8" w:space="1" w:color="F28C28"/>
        </w:pBdr>
      </w:pPr>
      <w:r/>
    </w:p>
    <w:p>
      <w:pPr>
        <w:spacing w:after="140" w:line="276" w:lineRule="auto"/>
      </w:pPr>
      <w:r>
        <w:t>Dal punto di vista del cliente, il Cyber Security Assessment è utile perché fornisce profondità tecnica, leggibilità e capacità di orientamento operativo.</w:t>
      </w:r>
    </w:p>
    <w:p>
      <w:r>
        <w:rPr>
          <w:rFonts w:ascii="Aptos Display" w:hAnsi="Aptos Display"/>
          <w:b/>
          <w:color w:val="0F1115"/>
          <w:sz w:val="23"/>
        </w:rPr>
        <w:t>Riduce l’incertezza tecnica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Molte organizzazioni intuiscono di avere sistemi vulnerabili o configurazioni da rivedere, ma non sanno ancora dove si concentri davvero il problema. Questo pacchetto fornisce una base tecnica più solida e ordinata.</w:t>
      </w:r>
    </w:p>
    <w:p>
      <w:r>
        <w:rPr>
          <w:rFonts w:ascii="Aptos Display" w:hAnsi="Aptos Display"/>
          <w:b/>
          <w:color w:val="0F1115"/>
          <w:sz w:val="23"/>
        </w:rPr>
        <w:t>Traduce il tecnico in priorità comprensibili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Il cliente non riceve soltanto output del motore VA, ma una lettura di cosa è emerso, di cosa conta davvero e di quali sistemi meritino attenzione per primi.</w:t>
      </w:r>
    </w:p>
    <w:p>
      <w:r>
        <w:rPr>
          <w:rFonts w:ascii="Aptos Display" w:hAnsi="Aptos Display"/>
          <w:b/>
          <w:color w:val="0F1115"/>
          <w:sz w:val="23"/>
        </w:rPr>
        <w:t>Permette di decidere i passi successivi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Dopo un Assessment ben fatto, il cliente può capire se servono interventi rapidi, remediation mirate, hardening più strutturato o attività ulteriori di verifica e validazione tecnica.</w:t>
      </w:r>
    </w:p>
    <w:p>
      <w:r>
        <w:rPr>
          <w:rFonts w:ascii="Aptos Display" w:hAnsi="Aptos Display"/>
          <w:b/>
          <w:color w:val="0F1115"/>
          <w:sz w:val="30"/>
        </w:rPr>
        <w:t>Cosa non include</w:t>
      </w:r>
    </w:p>
    <w:p>
      <w:pPr>
        <w:spacing w:after="160"/>
        <w:pBdr>
          <w:bottom w:val="single" w:sz="8" w:space="1" w:color="F28C28"/>
        </w:pBdr>
      </w:pPr>
      <w:r/>
    </w:p>
    <w:p>
      <w:pPr>
        <w:pStyle w:val="ListBullet"/>
      </w:pPr>
      <w:r>
        <w:rPr>
          <w:color w:val="1B2430"/>
          <w:sz w:val="21"/>
        </w:rPr>
        <w:t>exploitation o dimostrazione attiva della vulnerabilità;</w:t>
      </w:r>
    </w:p>
    <w:p>
      <w:pPr>
        <w:pStyle w:val="ListBullet"/>
      </w:pPr>
      <w:r>
        <w:rPr>
          <w:color w:val="1B2430"/>
          <w:sz w:val="21"/>
        </w:rPr>
        <w:t>brute force o tentativi di accesso forzato come prassi operativa;</w:t>
      </w:r>
    </w:p>
    <w:p>
      <w:pPr>
        <w:pStyle w:val="ListBullet"/>
      </w:pPr>
      <w:r>
        <w:rPr>
          <w:color w:val="1B2430"/>
          <w:sz w:val="21"/>
        </w:rPr>
        <w:t>lateral movement simulato o privilege escalation;</w:t>
      </w:r>
    </w:p>
    <w:p>
      <w:pPr>
        <w:pStyle w:val="ListBullet"/>
      </w:pPr>
      <w:r>
        <w:rPr>
          <w:color w:val="1B2430"/>
          <w:sz w:val="21"/>
        </w:rPr>
        <w:t>remediation operativa eseguita direttamente da ZBFOX nel perimetro del pacchetto;</w:t>
      </w:r>
    </w:p>
    <w:p>
      <w:pPr>
        <w:pStyle w:val="ListBullet"/>
      </w:pPr>
      <w:r>
        <w:rPr>
          <w:color w:val="1B2430"/>
          <w:sz w:val="21"/>
        </w:rPr>
        <w:t>monitoraggio continuativo o audit normativo formale.</w:t>
      </w:r>
    </w:p>
    <w:p>
      <w:pPr>
        <w:spacing w:after="140" w:line="276" w:lineRule="auto"/>
      </w:pPr>
      <w:r>
        <w:rPr>
          <w:rFonts w:ascii="Aptos" w:hAnsi="Aptos"/>
          <w:color w:val="1B2430"/>
          <w:sz w:val="21"/>
        </w:rPr>
        <w:t>Questa delimitazione è importante perché mantiene il pacchetto coerente con la sua natura: una valutazione tecnica e consulenziale della vulnerabilità e della postura interna, non un’attività offensiva o un servizio gestito continuativo.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FFF6E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1B2430"/>
                <w:sz w:val="21"/>
              </w:rPr>
              <w:t>Cyber Security Assessment non promette di “fare tutto”. Promette di far emergere abbastanza, in modo tecnico, ordinato e leggibile, da consentire a un’organizzazione di capire dove si concentrano le debolezze, quali sistemi richiedono attenzione e quali decisioni convenga prendere dopo.</w:t>
            </w:r>
          </w:p>
        </w:tc>
      </w:tr>
    </w:tbl>
    <w:p>
      <w:pPr>
        <w:spacing w:after="140" w:line="276" w:lineRule="auto"/>
      </w:pPr>
      <w:r>
        <w:rPr>
          <w:rFonts w:ascii="Aptos" w:hAnsi="Aptos"/>
          <w:color w:val="1B2430"/>
          <w:sz w:val="21"/>
        </w:rPr>
      </w:r>
    </w:p>
    <w:p>
      <w:pPr>
        <w:jc w:val="center"/>
      </w:pPr>
      <w:r>
        <w:rPr>
          <w:rFonts w:ascii="Aptos Display" w:hAnsi="Aptos Display"/>
          <w:b/>
          <w:color w:val="F28C28"/>
          <w:sz w:val="24"/>
        </w:rPr>
        <w:t>UNDERSTAND THE RISK. BUILD THE DEFENCE.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7"/>
      </w:rPr>
      <w:t xml:space="preserve">ZBFOX  |  Cyber Security Assessment  |  Pagina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