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color w:val="F28C28"/>
          <w:sz w:val="56"/>
        </w:rPr>
        <w:t>ZBFOX</w:t>
      </w:r>
      <w:r>
        <w:rPr>
          <w:rFonts w:ascii="Aptos" w:hAnsi="Aptos"/>
          <w:b/>
          <w:color w:val="23C7D9"/>
          <w:sz w:val="56"/>
        </w:rPr>
        <w:t xml:space="preserve"> Internal</w:t>
      </w:r>
    </w:p>
    <w:p>
      <w:pPr>
        <w:jc w:val="center"/>
      </w:pPr>
      <w:r>
        <w:rPr>
          <w:b/>
          <w:color w:val="1B2430"/>
          <w:sz w:val="36"/>
        </w:rPr>
        <w:t>Guida tecnica operativa</w:t>
      </w:r>
    </w:p>
    <w:p>
      <w:pPr>
        <w:jc w:val="center"/>
      </w:pPr>
      <w:r>
        <w:rPr>
          <w:color w:val="5A626E"/>
          <w:sz w:val="22"/>
        </w:rPr>
        <w:t>Documentazione di studio per run_internal_snapshot.sh e generate_internal_report_blocks.sh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DF2"/>
          </w:tcPr>
          <w:p>
            <w:pPr>
              <w:spacing w:after="0"/>
            </w:pPr>
            <w:r>
              <w:rPr>
                <w:sz w:val="20"/>
              </w:rPr>
              <w:t>Scopo del documento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Spiegare in modo completo, progressivo e leggibile l'intera pipeline Snapshot Internal.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DF2"/>
          </w:tcPr>
          <w:p>
            <w:pPr>
              <w:spacing w:after="0"/>
            </w:pPr>
            <w:r>
              <w:rPr>
                <w:sz w:val="20"/>
              </w:rPr>
              <w:t>Ambito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Ricognizione interna non invasiva: discovery host, enumerazione servizi, aggregazione dati e preparazione blocchi report.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DF2"/>
          </w:tcPr>
          <w:p>
            <w:pPr>
              <w:spacing w:after="0"/>
            </w:pPr>
            <w:r>
              <w:rPr>
                <w:sz w:val="20"/>
              </w:rPr>
              <w:t>Script trattati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run_internal_snapshot.sh e generate_internal_report_blocks.sh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DF2"/>
          </w:tcPr>
          <w:p>
            <w:pPr>
              <w:spacing w:after="0"/>
            </w:pPr>
            <w:r>
              <w:rPr>
                <w:sz w:val="20"/>
              </w:rPr>
              <w:t>Utilizzo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Studio, revisione, handover interno, futura manutenzione del toolkit.</w:t>
            </w:r>
          </w:p>
        </w:tc>
      </w:tr>
    </w:tbl>
    <w:p/>
    <w:p>
      <w:r>
        <w:br w:type="page"/>
      </w:r>
    </w:p>
    <w:p>
      <w:pPr>
        <w:pStyle w:val="Heading1"/>
      </w:pPr>
      <w:r>
        <w:t>1. Finalità della pipeline Snapshot Internal</w:t>
      </w:r>
    </w:p>
    <w:p>
      <w:r>
        <w:t>La pipeline Snapshot Internal è pensata per ottenere una fotografia iniziale della rete interna del cliente in modo ordinato, ripetibile e leggibile. L'obiettivo non è effettuare exploitation o attività intrusive, ma identificare host attivi, servizi esposti, possibili superfici di amministrazione, protocolli legacy e indicatori utili a una prima valutazione del rischio operativo.</w:t>
      </w:r>
    </w:p>
    <w:p>
      <w:r>
        <w:t>Nel modello ZBFOX, la componente internal serve soprattutto a trasformare una LAN osservata sul campo in un insieme di evidenze strutturate: target rilevati, servizi scoperti, servizi high-value, finding preliminari e blocchi report già organizzati. Il risultato finale non è il report definitivo, ma un materiale tecnico già leggibile da cui partire per la stesura consulenziale.</w:t>
      </w:r>
    </w:p>
    <w:p>
      <w:pPr>
        <w:pStyle w:val="Heading1"/>
      </w:pPr>
      <w:r>
        <w:t>2. Architettura logica complessiva</w:t>
      </w:r>
    </w:p>
    <w:p>
      <w:r>
        <w:t>La pipeline è composta da due script con ruoli distinti e complementari.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0"/>
          </w:tcPr>
          <w:p>
            <w:pPr>
              <w:spacing w:after="0"/>
            </w:pPr>
            <w:r>
              <w:rPr>
                <w:sz w:val="19"/>
              </w:rPr>
              <w:t>Componente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0"/>
          </w:tcPr>
          <w:p>
            <w:pPr>
              <w:spacing w:after="0"/>
            </w:pPr>
            <w:r>
              <w:rPr>
                <w:sz w:val="19"/>
              </w:rPr>
              <w:t>Funzione primaria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0"/>
          </w:tcPr>
          <w:p>
            <w:pPr>
              <w:spacing w:after="0"/>
            </w:pPr>
            <w:r>
              <w:rPr>
                <w:sz w:val="19"/>
              </w:rPr>
              <w:t>Output principale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run_internal_snapshot.sh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Esegue la ricognizione tecnica e normalizza i risultati in file processati.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targets_internal.txt, internal_services.csv, internal_high_value_services.csv, internal_findings.txt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generate_internal_report_blocks.sh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Legge i file già prodotti e costruisce blocchi report oggettivi.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01_summary_metrics.md, 03_internal_surface.md, 06_risk_assessment_auto.md, internal_snapshot_report_draft.md</w:t>
            </w:r>
          </w:p>
        </w:tc>
      </w:tr>
    </w:tbl>
    <w:p/>
    <w:p>
      <w:pPr>
        <w:pStyle w:val="ListBullet"/>
        <w:spacing w:after="40"/>
        <w:ind w:left="0"/>
      </w:pPr>
      <w:r>
        <w:rPr>
          <w:sz w:val="21"/>
        </w:rPr>
        <w:t>Primo passaggio: il modulo tecnico rileva host e servizi.</w:t>
      </w:r>
    </w:p>
    <w:p>
      <w:pPr>
        <w:pStyle w:val="ListBullet"/>
        <w:spacing w:after="40"/>
        <w:ind w:left="0"/>
      </w:pPr>
      <w:r>
        <w:rPr>
          <w:sz w:val="21"/>
        </w:rPr>
        <w:t>Secondo passaggio: il modulo report trasforma i dati in sintesi leggibile.</w:t>
      </w:r>
    </w:p>
    <w:p>
      <w:pPr>
        <w:pStyle w:val="ListBullet"/>
        <w:spacing w:after="40"/>
        <w:ind w:left="0"/>
      </w:pPr>
      <w:r>
        <w:rPr>
          <w:sz w:val="21"/>
        </w:rPr>
        <w:t>Terzo passaggio: l'analista legge i blocchi, interpreta il contesto e scrive il report finale.</w:t>
      </w:r>
    </w:p>
    <w:p>
      <w:pPr>
        <w:pStyle w:val="Heading1"/>
      </w:pPr>
      <w:r>
        <w:t>3. Struttura cartelle dell'engagement internal</w:t>
      </w:r>
    </w:p>
    <w:p>
      <w:r>
        <w:t>Gli script si aspettano una struttura engagement già creata da new_engagement.sh.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0"/>
          </w:tcPr>
          <w:p>
            <w:pPr>
              <w:spacing w:after="0"/>
            </w:pPr>
            <w:r>
              <w:rPr>
                <w:sz w:val="19"/>
              </w:rPr>
              <w:t>Cartella</w:t>
            </w:r>
          </w:p>
        </w:tc>
        <w:tc>
          <w:tcPr>
            <w:tcW w:type="dxa" w:w="57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0"/>
          </w:tcPr>
          <w:p>
            <w:pPr>
              <w:spacing w:after="0"/>
            </w:pPr>
            <w:r>
              <w:rPr>
                <w:sz w:val="19"/>
              </w:rPr>
              <w:t>Ruolo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scope</w:t>
            </w:r>
          </w:p>
        </w:tc>
        <w:tc>
          <w:tcPr>
            <w:tcW w:type="dxa" w:w="57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Contiene engagement.yaml e internal_scope.txt. Definisce modalità internal, subnet osservata ed eventuali esclusioni.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notes</w:t>
            </w:r>
          </w:p>
        </w:tc>
        <w:tc>
          <w:tcPr>
            <w:tcW w:type="dxa" w:w="57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Ospita timeline.md e note operative di supporto.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raw</w:t>
            </w:r>
          </w:p>
        </w:tc>
        <w:tc>
          <w:tcPr>
            <w:tcW w:type="dxa" w:w="57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Conserva output grezzi dei tool, utili per verifica e revisione successiva.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processed</w:t>
            </w:r>
          </w:p>
        </w:tc>
        <w:tc>
          <w:tcPr>
            <w:tcW w:type="dxa" w:w="57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Contiene i file normalizzati che diventano la base della lettura tecnica.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evidence</w:t>
            </w:r>
          </w:p>
        </w:tc>
        <w:tc>
          <w:tcPr>
            <w:tcW w:type="dxa" w:w="57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Raccoglie riepiloghi sintetici da poter citare o consultare rapidamente.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report</w:t>
            </w:r>
          </w:p>
        </w:tc>
        <w:tc>
          <w:tcPr>
            <w:tcW w:type="dxa" w:w="57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Ospita i blocchi markdown usati come base di scrittura del report.</w:t>
            </w:r>
          </w:p>
        </w:tc>
      </w:tr>
    </w:tbl>
    <w:p>
      <w:r>
        <w:br w:type="page"/>
      </w:r>
    </w:p>
    <w:p>
      <w:pPr>
        <w:pStyle w:val="Heading1"/>
      </w:pPr>
      <w:r>
        <w:t>4. run_internal_snapshot.sh: logica completa</w:t>
      </w:r>
    </w:p>
    <w:p>
      <w:r>
        <w:t>Questo script è il motore tecnico della pipeline internal. Valida l'engagement, raccoglie i parametri di rete, esegue la discovery, lancia la scansione servizi, normalizza i risultati e prepara evidenze sintetiche.</w:t>
      </w:r>
    </w:p>
    <w:p>
      <w:pPr>
        <w:pStyle w:val="Heading2"/>
      </w:pPr>
      <w:r>
        <w:t>4.1 Validazione iniziale</w:t>
      </w:r>
    </w:p>
    <w:p>
      <w:r>
        <w:t>Lo script riceve in input il solo ENGAGEMENT_PATH. Prima di eseguire qualsiasi comando verifica che il path esista, che le directory richieste siano presenti e che engagement.yaml indichi esplicitamente mode: internal.</w:t>
      </w:r>
    </w:p>
    <w:p>
      <w:r>
        <w:t>Questa fase serve a evitare lanci accidentali sul path sbagliato o su un engagement external. È una difesa procedurale semplice ma fondamentale.</w:t>
      </w:r>
    </w:p>
    <w:p>
      <w:pPr>
        <w:pStyle w:val="Heading2"/>
      </w:pPr>
      <w:r>
        <w:t>4.2 Raccolta dello scope interno</w:t>
      </w:r>
    </w:p>
    <w:p>
      <w:r>
        <w:t>Lo script chiede all'operatore la subnet CIDR da analizzare, ad esempio 192.168.1.0/24, e opzionalmente un elenco di IP da escludere separati da virgola.</w:t>
      </w:r>
    </w:p>
    <w:p>
      <w:r>
        <w:t>Le informazioni vengono salvate in scope/internal_scope.txt. In questo modo lo scope interno osservato non resta solo in memoria dell'operatore, ma diventa un artefatto persistente dell'engagement.</w:t>
      </w:r>
    </w:p>
    <w:p>
      <w:pPr>
        <w:pStyle w:val="Heading2"/>
      </w:pPr>
      <w:r>
        <w:t>4.3 Host discovery</w:t>
      </w:r>
    </w:p>
    <w:p>
      <w:r>
        <w:t>La discovery usa due fonti complementari. arp-scan --localnet intercetta la visibilità a livello locale della LAN. nmap -sn sulla subnet indicata effettua una ping sweep e aggiunge una seconda prospettiva.</w:t>
      </w:r>
    </w:p>
    <w:p>
      <w:r>
        <w:t>I risultati vengono estratti, ripuliti e consolidati in processed/targets_internal.txt. Questo file diventa l'elenco di host interni da passare ai moduli successivi.</w:t>
      </w:r>
    </w:p>
    <w:p>
      <w:pPr>
        <w:pStyle w:val="Heading2"/>
      </w:pPr>
      <w:r>
        <w:t>4.4 Service enumeration</w:t>
      </w:r>
    </w:p>
    <w:p>
      <w:r>
        <w:t>Se targets_internal.txt non contiene host, lo script interrompe il flusso. Se invece esistono target validi, lancia nmap con SYN scan, version detection, timing prudente T3 e top 100 porte.</w:t>
      </w:r>
    </w:p>
    <w:p>
      <w:r>
        <w:t>Lo scopo non è esaurire ogni possibilità della rete, ma ottenere una fotografia solida dei servizi più probabili senza aumentare inutilmente il rumore operativo.</w:t>
      </w:r>
    </w:p>
    <w:p>
      <w:pPr>
        <w:pStyle w:val="Heading2"/>
      </w:pPr>
      <w:r>
        <w:t>4.5 Parsing e normalizzazione</w:t>
      </w:r>
    </w:p>
    <w:p>
      <w:r>
        <w:t>Dall'output testuale di nmap vengono estratti quattro campi chiave: host, porta, servizio, versione. Questi dati vengono trasformati in processed/internal_services.csv.</w:t>
      </w:r>
    </w:p>
    <w:p>
      <w:r>
        <w:t>Successivamente viene creato internal_high_value_services.csv, che isola le porte più significative dal punto di vista operativo e del rischio: accessi remoti, protocolli mail, web, file sharing e servizi amministrativi.</w:t>
      </w:r>
    </w:p>
    <w:p>
      <w:pPr>
        <w:pStyle w:val="Heading2"/>
      </w:pPr>
      <w:r>
        <w:t>4.6 Finding preliminari</w:t>
      </w:r>
    </w:p>
    <w:p>
      <w:r>
        <w:t>Lo script produce anche processed/internal_findings.txt. Qui ogni porta rilevante viene trasformata in una frase leggibile, ad esempio: '[HIGH] SMB esposto su host -&gt; file sharing o servizio interno accessibile'.</w:t>
      </w:r>
    </w:p>
    <w:p>
      <w:r>
        <w:t>Questo file è già un ponte tra l'output grezzo e la futura scrittura del report. Non sostituisce il giudizio dell'analista, ma riduce fortemente il lavoro meccanico di interpretazione.</w:t>
      </w:r>
    </w:p>
    <w:p>
      <w:pPr>
        <w:pStyle w:val="Heading2"/>
      </w:pPr>
      <w:r>
        <w:t>4.7 Preparazione evidenze</w:t>
      </w:r>
    </w:p>
    <w:p>
      <w:r>
        <w:t>Infine lo script crea evidence/summary_internal.txt e una copia leggibile dei finding in evidence/internal_findings_evidence.txt.</w:t>
      </w:r>
    </w:p>
    <w:p>
      <w:r>
        <w:t>Questi artefatti servono come riferimento rapido durante la revisione e durante la stesura manuale del deliverable.</w:t>
      </w:r>
    </w:p>
    <w:p>
      <w:pPr>
        <w:pStyle w:val="Heading1"/>
      </w:pPr>
      <w:r>
        <w:t>5. File prodotti da run_internal_snapshot.sh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0"/>
          </w:tcPr>
          <w:p>
            <w:pPr>
              <w:spacing w:after="0"/>
            </w:pPr>
            <w:r>
              <w:rPr>
                <w:sz w:val="19"/>
              </w:rPr>
              <w:t>File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0"/>
          </w:tcPr>
          <w:p>
            <w:pPr>
              <w:spacing w:after="0"/>
            </w:pPr>
            <w:r>
              <w:rPr>
                <w:sz w:val="19"/>
              </w:rPr>
              <w:t>Categoria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0"/>
          </w:tcPr>
          <w:p>
            <w:pPr>
              <w:spacing w:after="0"/>
            </w:pPr>
            <w:r>
              <w:rPr>
                <w:sz w:val="19"/>
              </w:rPr>
              <w:t>Significato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scope/internal_scope.txt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Input strutturato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Subnet osservata ed esclusioni dichiarate.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raw/arp_scan.txt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Raw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Output completo di arp-scan.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raw/nmap_discovery.txt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Raw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Output completo della discovery Nmap.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raw/nmap_internal.txt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Raw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Output completo della scansione servizi.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processed/targets_internal.txt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Processato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Lista host consolidata da usare come base tecnica.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processed/internal_services.csv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Processato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Dataset principale host/porta/servizio/versione.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processed/internal_findings.txt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Processato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Finding testuali preliminari, già leggibili.</w:t>
            </w:r>
          </w:p>
        </w:tc>
      </w:tr>
    </w:tbl>
    <w:p>
      <w:pPr>
        <w:pStyle w:val="Heading1"/>
      </w:pPr>
      <w:r>
        <w:t>6. generate_internal_report_blocks.sh: logica completa</w:t>
      </w:r>
    </w:p>
    <w:p>
      <w:r>
        <w:t>Questo script non esegue nuove scansioni. Lavora unicamente sui file già prodotti dal modulo tecnico e li trasforma in blocchi markdown adatti alla lettura umana. La filosofia è chiara: automatizzare la sintesi oggettiva, non sostituire la lettura consulenziale finale.</w:t>
      </w:r>
    </w:p>
    <w:p>
      <w:pPr>
        <w:pStyle w:val="Heading2"/>
      </w:pPr>
      <w:r>
        <w:t>6.1 Lettura delle sorgenti</w:t>
      </w:r>
    </w:p>
    <w:p>
      <w:r>
        <w:t>Lo script recupera engagement.yaml per identificare engagement ID, cliente e data, e legge internal_scope.txt per riportare correttamente il perimetro osservato.</w:t>
      </w:r>
    </w:p>
    <w:p>
      <w:r>
        <w:t>Poi usa i file processati come fonte di verità: targets_internal.txt, internal_services.csv, internal_high_value_services.csv, internal_findings.txt e hosts_with_open_ports.txt.</w:t>
      </w:r>
    </w:p>
    <w:p>
      <w:pPr>
        <w:pStyle w:val="Heading2"/>
      </w:pPr>
      <w:r>
        <w:t>6.2 Conteggi e metriche</w:t>
      </w:r>
    </w:p>
    <w:p>
      <w:r>
        <w:t>Il modulo calcola il numero di host rilevati, host con porte aperte, servizi totali e servizi high-value. Inoltre conta quante volte compaiono singole porte di interesse come 21, 22, 23, 445, 3389 e 5900.</w:t>
      </w:r>
    </w:p>
    <w:p>
      <w:r>
        <w:t>Questi conteggi non sono il report, ma diventano la spina dorsale quantitativa dei blocchi summary, services detected e risk assessment.</w:t>
      </w:r>
    </w:p>
    <w:p>
      <w:pPr>
        <w:pStyle w:val="Heading2"/>
      </w:pPr>
      <w:r>
        <w:t>6.3 Risk matrix preliminare</w:t>
      </w:r>
    </w:p>
    <w:p>
      <w:r>
        <w:t>Lo script costruisce processed/internal_risk_matrix.csv. Non è una matrice accademica complessa, ma una tabella di lavoro che associa servizi e categorie a un livello di rischio preliminare.</w:t>
      </w:r>
    </w:p>
    <w:p>
      <w:r>
        <w:t>Ad esempio, FTP, Telnet, NetBIOS, SMB, RDP e VNC portano finding di livello HIGH. SSH e servizi mail tendono verso MEDIUM. La semplice presenza di web interno standard è trattata come INFO.</w:t>
      </w:r>
    </w:p>
    <w:p>
      <w:pPr>
        <w:pStyle w:val="Heading2"/>
      </w:pPr>
      <w:r>
        <w:t>6.4 Rischio complessivo proposto</w:t>
      </w:r>
    </w:p>
    <w:p>
      <w:r>
        <w:t>Il rischio complessivo viene derivato da una regola sintetica: più finding HIGH o la combinazione di HIGH e MEDIUM orientano verso HIGH; una rete con diversi MEDIUM ma senza forti indicatori critici orienta verso MEDIUM; una superficie contenuta e coerente orienta verso LOW.</w:t>
      </w:r>
    </w:p>
    <w:p>
      <w:r>
        <w:t>Questo valore è una proposta. Deve essere letto e confermato dall'analista in base al contesto reale della rete e al ruolo degli host.</w:t>
      </w:r>
    </w:p>
    <w:p>
      <w:pPr>
        <w:pStyle w:val="Heading2"/>
      </w:pPr>
      <w:r>
        <w:t>6.5 Raccomandazioni automatiche</w:t>
      </w:r>
    </w:p>
    <w:p>
      <w:r>
        <w:t>Le raccomandazioni vengono aggiunte in base ai pattern emersi. Se la rete mostra RDP, SMB o Telnet, le raccomandazioni riguarderanno contenimento, segmentazione o rimozione. Se emergono servizi web alternativi, la raccomandazione sarà riesaminare pannelli e applicazioni non standard.</w:t>
      </w:r>
    </w:p>
    <w:p>
      <w:r>
        <w:t>In assenza di indicatori specifici, lo script genera comunque raccomandazioni baseline sulla coerenza dei servizi e sulla riduzione della superficie laterale.</w:t>
      </w:r>
    </w:p>
    <w:p>
      <w:pPr>
        <w:pStyle w:val="Heading2"/>
      </w:pPr>
      <w:r>
        <w:t>6.6 Assemblaggio del draft</w:t>
      </w:r>
    </w:p>
    <w:p>
      <w:r>
        <w:t>Alla fine lo script unisce i singoli blocchi markdown in internal_snapshot_report_draft.md.</w:t>
      </w:r>
    </w:p>
    <w:p>
      <w:r>
        <w:t>Questo file non è il deliverable definitivo, ma un canovaccio tecnico già ordinato che permette all'analista di concentrarsi sulla lettura, sulla priorità e sulla scrittura finale.</w:t>
      </w:r>
    </w:p>
    <w:p>
      <w:r>
        <w:br w:type="page"/>
      </w:r>
    </w:p>
    <w:p>
      <w:pPr>
        <w:pStyle w:val="Heading1"/>
      </w:pPr>
      <w:r>
        <w:t>7. Blocchi report generati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0"/>
          </w:tcPr>
          <w:p>
            <w:pPr>
              <w:spacing w:after="0"/>
            </w:pPr>
            <w:r>
              <w:rPr>
                <w:sz w:val="19"/>
              </w:rPr>
              <w:t>File</w:t>
            </w:r>
          </w:p>
        </w:tc>
        <w:tc>
          <w:tcPr>
            <w:tcW w:type="dxa" w:w="5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0"/>
          </w:tcPr>
          <w:p>
            <w:pPr>
              <w:spacing w:after="0"/>
            </w:pPr>
            <w:r>
              <w:rPr>
                <w:sz w:val="19"/>
              </w:rPr>
              <w:t>Utilità pratica</w:t>
            </w:r>
          </w:p>
        </w:tc>
      </w:tr>
      <w:tr>
        <w:tc>
          <w:tcPr>
            <w:tcW w:type="dxa" w:w="31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01_summary_metrics.md</w:t>
            </w:r>
          </w:p>
        </w:tc>
        <w:tc>
          <w:tcPr>
            <w:tcW w:type="dxa" w:w="5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Raccoglie i numeri chiave dell'engagement internal.</w:t>
            </w:r>
          </w:p>
        </w:tc>
      </w:tr>
      <w:tr>
        <w:tc>
          <w:tcPr>
            <w:tcW w:type="dxa" w:w="31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02_internal_scope.md</w:t>
            </w:r>
          </w:p>
        </w:tc>
        <w:tc>
          <w:tcPr>
            <w:tcW w:type="dxa" w:w="5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Riporta subnet ed eventuali esclusioni dichiarate.</w:t>
            </w:r>
          </w:p>
        </w:tc>
      </w:tr>
      <w:tr>
        <w:tc>
          <w:tcPr>
            <w:tcW w:type="dxa" w:w="31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03_internal_surface.md</w:t>
            </w:r>
          </w:p>
        </w:tc>
        <w:tc>
          <w:tcPr>
            <w:tcW w:type="dxa" w:w="5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Sintetizza host rilevati, host con porte aperte e campione della superficie interna.</w:t>
            </w:r>
          </w:p>
        </w:tc>
      </w:tr>
      <w:tr>
        <w:tc>
          <w:tcPr>
            <w:tcW w:type="dxa" w:w="31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04_services_detected.md</w:t>
            </w:r>
          </w:p>
        </w:tc>
        <w:tc>
          <w:tcPr>
            <w:tcW w:type="dxa" w:w="5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Mostra i conteggi dei principali servizi rilevati.</w:t>
            </w:r>
          </w:p>
        </w:tc>
      </w:tr>
      <w:tr>
        <w:tc>
          <w:tcPr>
            <w:tcW w:type="dxa" w:w="31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05_attention_points.md</w:t>
            </w:r>
          </w:p>
        </w:tc>
        <w:tc>
          <w:tcPr>
            <w:tcW w:type="dxa" w:w="5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Accorpa finding preliminari e servizi high-value.</w:t>
            </w:r>
          </w:p>
        </w:tc>
      </w:tr>
      <w:tr>
        <w:tc>
          <w:tcPr>
            <w:tcW w:type="dxa" w:w="31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06_risk_assessment_auto.md</w:t>
            </w:r>
          </w:p>
        </w:tc>
        <w:tc>
          <w:tcPr>
            <w:tcW w:type="dxa" w:w="5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Propone un livello di rischio complessivo con rationale sintetico.</w:t>
            </w:r>
          </w:p>
        </w:tc>
      </w:tr>
      <w:tr>
        <w:tc>
          <w:tcPr>
            <w:tcW w:type="dxa" w:w="31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07_recommendations_auto.md</w:t>
            </w:r>
          </w:p>
        </w:tc>
        <w:tc>
          <w:tcPr>
            <w:tcW w:type="dxa" w:w="5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Raccoglie raccomandazioni basate sui servizi emersi.</w:t>
            </w:r>
          </w:p>
        </w:tc>
      </w:tr>
      <w:tr>
        <w:tc>
          <w:tcPr>
            <w:tcW w:type="dxa" w:w="31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internal_snapshot_report_draft.md</w:t>
            </w:r>
          </w:p>
        </w:tc>
        <w:tc>
          <w:tcPr>
            <w:tcW w:type="dxa" w:w="5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Assembla i blocchi in un unico documento base da leggere e rifinire.</w:t>
            </w:r>
          </w:p>
        </w:tc>
      </w:tr>
    </w:tbl>
    <w:p>
      <w:pPr>
        <w:pStyle w:val="Heading1"/>
      </w:pPr>
      <w:r>
        <w:t>8. Come leggere correttamente i risultati</w:t>
      </w:r>
    </w:p>
    <w:p>
      <w:r>
        <w:t>La lettura corretta non consiste nel prendere ogni finding come una criticità certa. L'analista deve sempre verificare se il servizio rilevato è coerente con il ruolo dell'host, se la sua esposizione è necessaria, se esistono controlli compensativi e se la combinazione dei servizi favorisce o meno il movimento laterale.</w:t>
      </w:r>
    </w:p>
    <w:p>
      <w:pPr>
        <w:pStyle w:val="ListBullet"/>
        <w:spacing w:after="40"/>
        <w:ind w:left="0"/>
      </w:pPr>
      <w:r>
        <w:rPr>
          <w:sz w:val="21"/>
        </w:rPr>
        <w:t>Un RDP interno non equivale automaticamente a una criticità grave: dipende da dove si trova, chi lo usa e come è controllato.</w:t>
      </w:r>
    </w:p>
    <w:p>
      <w:pPr>
        <w:pStyle w:val="ListBullet"/>
        <w:spacing w:after="40"/>
        <w:ind w:left="0"/>
      </w:pPr>
      <w:r>
        <w:rPr>
          <w:sz w:val="21"/>
        </w:rPr>
        <w:t>Un servizio web su 8443 può rappresentare un pannello di gestione oppure un'applicazione prevista: va contestualizzato.</w:t>
      </w:r>
    </w:p>
    <w:p>
      <w:pPr>
        <w:pStyle w:val="ListBullet"/>
        <w:spacing w:after="40"/>
        <w:ind w:left="0"/>
      </w:pPr>
      <w:r>
        <w:rPr>
          <w:sz w:val="21"/>
        </w:rPr>
        <w:t>La presenza simultanea di SMB, RDP e servizi legacy su più host indica invece una superficie laterale più interessante e più delicata.</w:t>
      </w:r>
    </w:p>
    <w:p>
      <w:pPr>
        <w:pStyle w:val="ListBullet"/>
        <w:spacing w:after="40"/>
        <w:ind w:left="0"/>
      </w:pPr>
      <w:r>
        <w:rPr>
          <w:sz w:val="21"/>
        </w:rPr>
        <w:t>I blocchi automatici servono a non perdere dati concreti; il giudizio finale resta umano.</w:t>
      </w:r>
    </w:p>
    <w:p>
      <w:pPr>
        <w:pStyle w:val="Heading1"/>
      </w:pPr>
      <w:r>
        <w:t>9. Procedura pratica consigliata</w:t>
      </w:r>
    </w:p>
    <w:p>
      <w:pPr>
        <w:pStyle w:val="ListBullet"/>
        <w:spacing w:after="40"/>
        <w:ind w:left="0"/>
      </w:pPr>
      <w:r>
        <w:rPr>
          <w:sz w:val="21"/>
        </w:rPr>
        <w:t>Creare l'engagement internal con new_engagement.sh.</w:t>
      </w:r>
    </w:p>
    <w:p>
      <w:pPr>
        <w:pStyle w:val="ListBullet"/>
        <w:spacing w:after="40"/>
        <w:ind w:left="0"/>
      </w:pPr>
      <w:r>
        <w:rPr>
          <w:sz w:val="21"/>
        </w:rPr>
        <w:t>Eseguire run_internal_snapshot.sh e dichiarare subnet ed eventuali esclusioni.</w:t>
      </w:r>
    </w:p>
    <w:p>
      <w:pPr>
        <w:pStyle w:val="ListBullet"/>
        <w:spacing w:after="40"/>
        <w:ind w:left="0"/>
      </w:pPr>
      <w:r>
        <w:rPr>
          <w:sz w:val="21"/>
        </w:rPr>
        <w:t>Controllare i file processati, soprattutto targets_internal.txt, internal_services.csv e internal_findings.txt.</w:t>
      </w:r>
    </w:p>
    <w:p>
      <w:pPr>
        <w:pStyle w:val="ListBullet"/>
        <w:spacing w:after="40"/>
        <w:ind w:left="0"/>
      </w:pPr>
      <w:r>
        <w:rPr>
          <w:sz w:val="21"/>
        </w:rPr>
        <w:t>Lanciare generate_internal_report_blocks.sh.</w:t>
      </w:r>
    </w:p>
    <w:p>
      <w:pPr>
        <w:pStyle w:val="ListBullet"/>
        <w:spacing w:after="40"/>
        <w:ind w:left="0"/>
      </w:pPr>
      <w:r>
        <w:rPr>
          <w:sz w:val="21"/>
        </w:rPr>
        <w:t>Leggere 01_summary_metrics.md, 05_attention_points.md e 06_risk_assessment_auto.md come triade principale di interpretazione.</w:t>
      </w:r>
    </w:p>
    <w:p>
      <w:pPr>
        <w:pStyle w:val="ListBullet"/>
        <w:spacing w:after="40"/>
        <w:ind w:left="0"/>
      </w:pPr>
      <w:r>
        <w:rPr>
          <w:sz w:val="21"/>
        </w:rPr>
        <w:t>Scrivere il report finale partendo da dati, finding e raccomandazioni, evitando di copiare il draft senza revisione.</w:t>
      </w:r>
    </w:p>
    <w:p>
      <w:pPr>
        <w:pStyle w:val="Heading1"/>
      </w:pPr>
      <w:r>
        <w:t>10. Limiti e cautele</w:t>
      </w:r>
    </w:p>
    <w:p>
      <w:r>
        <w:t>Questa pipeline è intenzionalmente sintetica. Non sostituisce analisi architetturale, validazione delle configurazioni, autenticazione effettiva ai servizi o verifica della segmentazione reale tra VLAN e zone. Serve a costruire una prima fotografia tecnica interna utile, leggibile e riusabile.</w:t>
      </w:r>
    </w:p>
    <w:p>
      <w:r>
        <w:t>Di conseguenza, i risultati devono essere interpretati come base di lavoro. Il valore del metodo non sta nell'automatizzare il giudizio, ma nel trasformare rapidamente una LAN osservata sul campo in evidenze strutturate e in materiale già pronto per l'analisi.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ZBFOX • Guida tecnica Snapshot Internal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B243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1B243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1B243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F111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