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F28C28"/>
          <w:sz w:val="56"/>
        </w:rPr>
        <w:t>ZBFOX</w:t>
      </w:r>
      <w:r>
        <w:rPr>
          <w:rFonts w:ascii="Aptos Display" w:hAnsi="Aptos Display"/>
          <w:b/>
          <w:color w:val="23539B"/>
          <w:sz w:val="52"/>
        </w:rPr>
        <w:br/>
        <w:t>Assessment</w:t>
      </w:r>
    </w:p>
    <w:p>
      <w:pPr>
        <w:pStyle w:val="TitleZ"/>
        <w:jc w:val="center"/>
      </w:pPr>
      <w:r>
        <w:t>Guida tecnica dettagliata di new_engagement_assessment.sh, run_assessment.sh e generate_assessment_report_blocks1.sh</w:t>
      </w:r>
    </w:p>
    <w:p>
      <w:pPr>
        <w:pStyle w:val="SubTitleZ"/>
        <w:jc w:val="center"/>
      </w:pPr>
      <w:r>
        <w:t>Documento di studio interno pensato per spiegare, passo per passo, cosa fanno i tre script, quali file leggono e scrivono, quale logica seguono, quali decisioni prendono e quali limiti hanno.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r>
              <w:rPr>
                <w:rFonts w:ascii="Aptos" w:hAnsi="Aptos"/>
                <w:b/>
                <w:sz w:val="20"/>
              </w:rPr>
              <w:t>Ambito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20"/>
              </w:rPr>
              <w:t>Pacchetto ZBFOX Cyber Security Assessment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r>
              <w:rPr>
                <w:rFonts w:ascii="Aptos" w:hAnsi="Aptos"/>
                <w:b/>
                <w:sz w:val="20"/>
              </w:rPr>
              <w:t>Script analizzati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20"/>
              </w:rPr>
              <w:t>new_engagement_assessment.sh; run_assessment.sh; generate_assessment_report_blocks1.sh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r>
              <w:rPr>
                <w:rFonts w:ascii="Aptos" w:hAnsi="Aptos"/>
                <w:b/>
                <w:sz w:val="20"/>
              </w:rPr>
              <w:t>Obiettivo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20"/>
              </w:rPr>
              <w:t>Comprendere la pipeline tecnica interna pre-VA e la preparazione dei blocchi report automatici di prima fase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0F8"/>
          </w:tcPr>
          <w:p>
            <w:r>
              <w:rPr>
                <w:rFonts w:ascii="Aptos" w:hAnsi="Aptos"/>
                <w:b/>
                <w:sz w:val="20"/>
              </w:rPr>
              <w:t>Uso del documento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20"/>
              </w:rPr>
              <w:t>Studio, onboarding, verifica del workflow, futura manutenzione</w:t>
            </w:r>
          </w:p>
        </w:tc>
      </w:tr>
    </w:tbl>
    <w:p>
      <w:r>
        <w:br w:type="page"/>
      </w:r>
    </w:p>
    <w:p>
      <w:pPr>
        <w:pStyle w:val="Heading1Z"/>
      </w:pPr>
      <w:r>
        <w:t>1. Scopo del documento</w:t>
      </w:r>
    </w:p>
    <w:p>
      <w:pPr>
        <w:pStyle w:val="BodyZ"/>
        <w:spacing w:after="100" w:line="264" w:lineRule="auto"/>
      </w:pPr>
      <w:r>
        <w:t>Questo documento descrive in modo operativo e sequenziale i tre script che, insieme, coprono la parte centrale del pacchetto Assessment fino all’integrazione del Vulnerability Assessment.</w:t>
      </w:r>
    </w:p>
    <w:p>
      <w:pPr>
        <w:pStyle w:val="BodyZ"/>
        <w:spacing w:after="100" w:line="264" w:lineRule="auto"/>
      </w:pPr>
      <w:r>
        <w:t>new_engagement_assessment.sh crea l’engagement, imposta il package code ASSESS, genera l’albero di lavoro e inizializza i file di contesto.</w:t>
      </w:r>
    </w:p>
    <w:p>
      <w:pPr>
        <w:pStyle w:val="BodyZ"/>
        <w:spacing w:after="100" w:line="264" w:lineRule="auto"/>
      </w:pPr>
      <w:r>
        <w:t>run_assessment.sh esegue la pipeline tecnica non-VA: ingresso in LAN, contesto locale, L2 sweep, L3 reachability, initial service exposure, core asset fingerprint e passive evidence.</w:t>
      </w:r>
    </w:p>
    <w:p>
      <w:pPr>
        <w:pStyle w:val="BodyZ"/>
        <w:spacing w:after="100" w:line="264" w:lineRule="auto"/>
      </w:pPr>
      <w:r>
        <w:t>generate_assessment_report_blocks1.sh legge gli output processati della fase precedente, li sintetizza e prepara blocchi di testo oggettivi per la prima parte del report, prima dell’ingest dei report Nessus/OpenVAS.</w:t>
      </w:r>
    </w:p>
    <w:p/>
    <w:p>
      <w:pPr>
        <w:pStyle w:val="Heading1Z"/>
      </w:pPr>
      <w:r>
        <w:t>2. Visione d’insieme della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6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9"/>
              </w:rPr>
              <w:t>Input autorizzato</w:t>
            </w:r>
          </w:p>
        </w:tc>
        <w:tc>
          <w:tcPr>
            <w:tcW w:type="dxa" w:w="1987"/>
            <w:shd w:fill="D9E6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9"/>
              </w:rPr>
              <w:t>Bootstrap engagement</w:t>
            </w:r>
          </w:p>
        </w:tc>
        <w:tc>
          <w:tcPr>
            <w:tcW w:type="dxa" w:w="1987"/>
            <w:shd w:fill="D9E6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9"/>
              </w:rPr>
              <w:t>Pipeline tecnica pre-VA</w:t>
            </w:r>
          </w:p>
        </w:tc>
        <w:tc>
          <w:tcPr>
            <w:tcW w:type="dxa" w:w="1987"/>
            <w:shd w:fill="D9E6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9"/>
              </w:rPr>
              <w:t>Normalizzazione e sintesi</w:t>
            </w:r>
          </w:p>
        </w:tc>
        <w:tc>
          <w:tcPr>
            <w:tcW w:type="dxa" w:w="1987"/>
            <w:shd w:fill="D9E6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9"/>
              </w:rPr>
              <w:t>Scrittura report</w:t>
            </w:r>
          </w:p>
        </w:tc>
      </w:tr>
      <w:tr>
        <w:tc>
          <w:tcPr>
            <w:tcW w:type="dxa" w:w="198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access_point, network hypothesis, engagement metadata</w:t>
            </w:r>
          </w:p>
        </w:tc>
        <w:tc>
          <w:tcPr>
            <w:tcW w:type="dxa" w:w="198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new_engagement_assessment.sh</w:t>
            </w:r>
          </w:p>
        </w:tc>
        <w:tc>
          <w:tcPr>
            <w:tcW w:type="dxa" w:w="198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run_assessment.sh</w:t>
              <w:br/>
              <w:t>MOD01 → MOD06</w:t>
            </w:r>
          </w:p>
        </w:tc>
        <w:tc>
          <w:tcPr>
            <w:tcW w:type="dxa" w:w="198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dataset processed + assessment_findings_phase1 + risk_matrix_phase1</w:t>
            </w:r>
          </w:p>
        </w:tc>
        <w:tc>
          <w:tcPr>
            <w:tcW w:type="dxa" w:w="198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generate_assessment_report_blocks1.sh</w:t>
              <w:br/>
              <w:t>blocchi .md / draft report phase1</w:t>
            </w:r>
          </w:p>
        </w:tc>
      </w:tr>
    </w:tbl>
    <w:p>
      <w:pPr>
        <w:pStyle w:val="BodyZ"/>
        <w:spacing w:after="100" w:line="264" w:lineRule="auto"/>
      </w:pPr>
      <w:r>
        <w:t>• Il builder non esegue attività tecniche: rende operativo l’engagement.</w:t>
      </w:r>
    </w:p>
    <w:p>
      <w:pPr>
        <w:pStyle w:val="BodyZ"/>
        <w:spacing w:after="100" w:line="264" w:lineRule="auto"/>
      </w:pPr>
      <w:r>
        <w:t>• Il runner non scrive il report finale: costruisce la fotografia tecnica interna pre-VA.</w:t>
      </w:r>
    </w:p>
    <w:p>
      <w:pPr>
        <w:pStyle w:val="BodyZ"/>
        <w:spacing w:after="100" w:line="264" w:lineRule="auto"/>
      </w:pPr>
      <w:r>
        <w:t>• Il generator non sostituisce l’analista: prepara una base già leggibile e strutturata.</w:t>
      </w:r>
    </w:p>
    <w:p/>
    <w:p>
      <w:pPr>
        <w:pStyle w:val="Heading1Z"/>
      </w:pPr>
      <w:r>
        <w:t>3. Struttura delle cartelle usate dagli script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6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9"/>
              </w:rPr>
              <w:t>Cartella</w:t>
            </w:r>
          </w:p>
        </w:tc>
        <w:tc>
          <w:tcPr>
            <w:tcW w:type="dxa" w:w="3312"/>
            <w:shd w:fill="D9E6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9"/>
              </w:rPr>
              <w:t>Funzione</w:t>
            </w:r>
          </w:p>
        </w:tc>
        <w:tc>
          <w:tcPr>
            <w:tcW w:type="dxa" w:w="3312"/>
            <w:shd w:fill="D9E6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9"/>
              </w:rPr>
              <w:t>Usata da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scope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Contiene metadati engagement, access point e ipotesi iniziali.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builder + generator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notes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Timeline e note di fase.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tutti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raw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Output grezzi dei moduli tecnici.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runner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processed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Dataset strutturati e normalizzati per la fase successiva.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runner + generator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scans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Output Nmap e altri output di scansione salvati con naming coerente.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runner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evidence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Eventuali file di supporto o estratti utili.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runner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report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Blocchi markdown e draft report.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generator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logs / tmp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Log operativi e file temporanei di esecuzione.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runner</w:t>
            </w:r>
          </w:p>
        </w:tc>
      </w:tr>
    </w:tbl>
    <w:p/>
    <w:p>
      <w:pPr>
        <w:pStyle w:val="Heading1Z"/>
      </w:pPr>
      <w:r>
        <w:t>4. new_engagement_assessment.sh - spiegazione completa</w:t>
      </w:r>
    </w:p>
    <w:p>
      <w:pPr>
        <w:pStyle w:val="BodyZ"/>
        <w:spacing w:after="100" w:line="264" w:lineRule="auto"/>
      </w:pPr>
      <w:r>
        <w:t>4.1 Obiettivo operativo — creare un engagement di tipo ASSESS coerente con la filosofia ZBFOX, ma separato dal package Snapshot.</w:t>
      </w:r>
    </w:p>
    <w:p>
      <w:pPr>
        <w:pStyle w:val="BodyZ"/>
        <w:spacing w:after="100" w:line="264" w:lineRule="auto"/>
      </w:pPr>
      <w:r>
        <w:t>4.2 Input richiesto — un solo argomento: il cliente. Lo script sanitizza il codice cliente, genera ENGAGEMENT_ID e crea il path sotto /opt/zbfox/engagements.</w:t>
      </w:r>
    </w:p>
    <w:p>
      <w:pPr>
        <w:pStyle w:val="BodyZ"/>
        <w:spacing w:after="100" w:line="264" w:lineRule="auto"/>
      </w:pPr>
      <w:r>
        <w:t>4.3 Decisioni principali — package_code ASSESS, mode internal, scope_type internal_lan_assessment e assessment_model con stati fase iniziali.</w:t>
      </w:r>
    </w:p>
    <w:p>
      <w:pPr>
        <w:pStyle w:val="BodyZ"/>
        <w:spacing w:after="100" w:line="264" w:lineRule="auto"/>
      </w:pPr>
      <w:r>
        <w:t>4.4 Struttura creata — scope, notes, raw, processed, scans, evidence, report, scripts, logs, tmp.</w:t>
      </w:r>
    </w:p>
    <w:p>
      <w:pPr>
        <w:pStyle w:val="BodyZ"/>
        <w:spacing w:after="100" w:line="264" w:lineRule="auto"/>
      </w:pPr>
      <w:r>
        <w:t>4.5 File seed creati — engagement.yaml, access_point.txt, network_hypothesis.md, observations.md, timeline.md, phase2.md, phase3.md.</w:t>
      </w:r>
    </w:p>
    <w:p>
      <w:pPr>
        <w:pStyle w:val="BodyZ"/>
        <w:spacing w:after="100" w:line="264" w:lineRule="auto"/>
      </w:pPr>
      <w:r>
        <w:t>4.6 Perché conta — lo script non avvia attività tecniche; crea invece un perimetro di lavoro ordinato e tracciabile su cui tutti gli script successivi possono fare affidamento.</w:t>
      </w:r>
    </w:p>
    <w:p/>
    <w:p>
      <w:pPr>
        <w:pStyle w:val="Heading1Z"/>
      </w:pPr>
      <w:r>
        <w:t>5. run_assessment.sh - spiegazione completa</w:t>
      </w:r>
    </w:p>
    <w:p>
      <w:pPr>
        <w:pStyle w:val="BodyZ"/>
        <w:spacing w:after="100" w:line="264" w:lineRule="auto"/>
      </w:pPr>
      <w:r>
        <w:t>5.1 Obiettivo operativo — eseguire tutta la pipeline tecnica pre-VA in un unico runner, con bootstrap delle cartelle di fase, check dei tool, autodetect dell’interfaccia e produzione degli output raw, scans e processed.</w:t>
      </w:r>
    </w:p>
    <w:p>
      <w:pPr>
        <w:pStyle w:val="BodyZ"/>
        <w:spacing w:after="100" w:line="264" w:lineRule="auto"/>
      </w:pPr>
      <w:r>
        <w:t>5.2 Input richiesto — un solo argomento: ENGAGEMENT_PATH. Lo script verifica che engagement.yaml esista e che package_code sia ASSESS.</w:t>
      </w:r>
    </w:p>
    <w:p>
      <w:pPr>
        <w:pStyle w:val="BodyZ"/>
        <w:spacing w:after="100" w:line="264" w:lineRule="auto"/>
      </w:pPr>
      <w:r>
        <w:t>5.3 Controlli iniziali — banner ZBFOX, verifica cartelle base, verifica tool richiesti e creazione delle sottocartelle di phase2 sotto raw, processed, scans ed evidence.</w:t>
      </w:r>
    </w:p>
    <w:p>
      <w:pPr>
        <w:pStyle w:val="BodyZ"/>
        <w:spacing w:after="100" w:line="264" w:lineRule="auto"/>
      </w:pPr>
      <w:r>
        <w:t>5.4 Filosofia del runner — un solo entrypoint per la fase tecnica; i moduli restano separati concettualmente ma vengono orchestrati in sequenza, con path deterministici sotto ENGAGEMENT_ROOT.</w:t>
      </w:r>
    </w:p>
    <w:p>
      <w:pPr>
        <w:pStyle w:val="BodyZ"/>
        <w:spacing w:after="100" w:line="264" w:lineRule="auto"/>
      </w:pPr>
      <w:r>
        <w:t>5.5 MOD01 Local Context — raccoglie interface inventory, IP, route, DNS, hostname e stato link; genera initial_access.json, interface_status.json e route_candidates.json.</w:t>
      </w:r>
    </w:p>
    <w:p>
      <w:pPr>
        <w:pStyle w:val="BodyZ"/>
        <w:spacing w:after="100" w:line="264" w:lineRule="auto"/>
      </w:pPr>
      <w:r>
        <w:t>5.6 MOD02 L2 Sweep — usa ip neigh e arp-scan per mappare il segmento locale, arricchire MAC/vendor e produrre l2_hosts.csv, l2_summary.json e l2_infra_candidates.csv.</w:t>
      </w:r>
    </w:p>
    <w:p>
      <w:pPr>
        <w:pStyle w:val="BodyZ"/>
        <w:spacing w:after="100" w:line="264" w:lineRule="auto"/>
      </w:pPr>
      <w:r>
        <w:t>5.7 MOD03 L3 Reachability — usa ping, fping, nmap -sn e traceroute per capire cosa è effettivamente raggiungibile dal vantage point e produrre live_hosts.csv, reachable_segments.csv e reachability_summary.json.</w:t>
      </w:r>
    </w:p>
    <w:p>
      <w:pPr>
        <w:pStyle w:val="BodyZ"/>
        <w:spacing w:after="100" w:line="264" w:lineRule="auto"/>
      </w:pPr>
      <w:r>
        <w:t>5.8 MOD04 Initial Service Exposure — esegue top-ports scan sui live host, separa local e remote targets, arricchisce un subset con -sV e costruisce services_top.csv, open_ports_by_host.csv, service_summary.json e aggiorna infra_candidates.csv.</w:t>
      </w:r>
    </w:p>
    <w:p>
      <w:pPr>
        <w:pStyle w:val="BodyZ"/>
        <w:spacing w:after="100" w:line="264" w:lineRule="auto"/>
      </w:pPr>
      <w:r>
        <w:t>5.9 MOD05 Core Asset Fingerprint — fa OS/device fingerprint mirato e arricchimento architetturale su pochi target core, con curl, TLS e reverse DNS, evitando sovrapposizioni con il VA.</w:t>
      </w:r>
    </w:p>
    <w:p>
      <w:pPr>
        <w:pStyle w:val="BodyZ"/>
        <w:spacing w:after="100" w:line="264" w:lineRule="auto"/>
      </w:pPr>
      <w:r>
        <w:t>5.10 MOD06 Passive Evidence — cattura 30 secondi di traffico passivo per ricavare naming, broadcast hints e protocolli di supporto senza introdurre nuove verifiche attive.</w:t>
      </w:r>
    </w:p>
    <w:p>
      <w:pPr>
        <w:pStyle w:val="BodyZ"/>
        <w:spacing w:after="100" w:line="264" w:lineRule="auto"/>
      </w:pPr>
      <w:r>
        <w:t>5.11 Uscite principali — oltre ai dataset per modulo, lo script produce phase2_summary.json, assessment_findings_phase1.txt e risk_matrix_phase1.csv pronti per la fase successiva di report blocks.</w:t>
      </w:r>
    </w:p>
    <w:p>
      <w:pPr>
        <w:pStyle w:val="BodyZ"/>
        <w:spacing w:after="100" w:line="264" w:lineRule="auto"/>
      </w:pPr>
      <w:r>
        <w:t>5.12 Limiti — lo script non esegue Vulnerability Assessment, non scarica report di scanner e non produce un giudizio finale di rischio: prepara invece una base tecnica robusta per l’ingest VA successivo.</w:t>
      </w:r>
    </w:p>
    <w:p/>
    <w:p>
      <w:pPr>
        <w:pStyle w:val="Heading1Z"/>
      </w:pPr>
      <w:r>
        <w:t>6. generate_assessment_report_blocks1.sh - spiegazione completa</w:t>
      </w:r>
    </w:p>
    <w:p>
      <w:pPr>
        <w:pStyle w:val="BodyZ"/>
        <w:spacing w:after="100" w:line="264" w:lineRule="auto"/>
      </w:pPr>
      <w:r>
        <w:t>6.1 Obiettivo operativo — trasformare gli output processati della phase2 in blocchi di testo ordinati e riusabili nel report, mantenendo una logica oggettiva e pre-VA.</w:t>
      </w:r>
    </w:p>
    <w:p>
      <w:pPr>
        <w:pStyle w:val="BodyZ"/>
        <w:spacing w:after="100" w:line="264" w:lineRule="auto"/>
      </w:pPr>
      <w:r>
        <w:t>6.2 File letti — engagement.yaml, initial_access.json, l2_summary.json, reachability_summary.json, service_summary.json, phase2_summary.json, infra_candidates.csv, open_ports_by_host.csv e, se presenti, core_asset_fingerprint.csv e passive_summary.json.</w:t>
      </w:r>
    </w:p>
    <w:p>
      <w:pPr>
        <w:pStyle w:val="BodyZ"/>
        <w:spacing w:after="100" w:line="264" w:lineRule="auto"/>
      </w:pPr>
      <w:r>
        <w:t>6.3 Controlli iniziali — verifica che l’engagement sia ASSESS e che i file minimi di phase2 esistano prima di procedere.</w:t>
      </w:r>
    </w:p>
    <w:p>
      <w:pPr>
        <w:pStyle w:val="BodyZ"/>
        <w:spacing w:after="100" w:line="264" w:lineRule="auto"/>
      </w:pPr>
      <w:r>
        <w:t>6.4 Risk synthesis di prima fase — costruisce findings preliminari e una risk_matrix_phase1.csv basandosi su concentrazione di superfici amministrative, segmenti remoti raggiungibili, ampiezza della service exposure, web surfaces e anomalie L2.</w:t>
      </w:r>
    </w:p>
    <w:p>
      <w:pPr>
        <w:pStyle w:val="BodyZ"/>
        <w:spacing w:after="100" w:line="264" w:lineRule="auto"/>
      </w:pPr>
      <w:r>
        <w:t>6.5 Livello di rischio complessivo — propone LOW, LOW-MEDIUM o MEDIUM in base al numero e alla combinazione dei segnali emersi, con rationale sintetico. È una proposta tecnica preliminare, non una valutazione finale.</w:t>
      </w:r>
    </w:p>
    <w:p>
      <w:pPr>
        <w:pStyle w:val="BodyZ"/>
        <w:spacing w:after="100" w:line="264" w:lineRule="auto"/>
      </w:pPr>
      <w:r>
        <w:t>6.6 Blocchi report generati — 01_summary_metrics.md, 02_initial_positioning.md, 03_internal_surface.md, 04_services_detected.md, 05_core_assets.md, 06_risk_assessment_auto_phase1.md, 07_recommendations_auto_phase1.md e assessment_report_draft_phase1.md.</w:t>
      </w:r>
    </w:p>
    <w:p>
      <w:pPr>
        <w:pStyle w:val="BodyZ"/>
        <w:spacing w:after="100" w:line="264" w:lineRule="auto"/>
      </w:pPr>
      <w:r>
        <w:t>6.7 Perché serve — riduce il lavoro meccanico dell’analista, trasforma dataset tecnici in testo leggibile e rende pronta la prima metà del report, lasciando aperta la seconda metà dedicata al VA.</w:t>
      </w:r>
    </w:p>
    <w:p/>
    <w:p>
      <w:pPr>
        <w:pStyle w:val="Heading1Z"/>
      </w:pPr>
      <w:r>
        <w:t>7. Relazione tra i tre script</w:t>
      </w:r>
    </w:p>
    <w:p>
      <w:pPr>
        <w:pStyle w:val="BodyZ"/>
        <w:spacing w:after="100" w:line="264" w:lineRule="auto"/>
      </w:pPr>
      <w:r>
        <w:t>I tre script formano una catena unica: il builder crea il contenitore, il runner lo riempie di evidenza tecnica e il generator costruisce i blocchi di report di prima fase.</w:t>
      </w:r>
    </w:p>
    <w:p>
      <w:pPr>
        <w:pStyle w:val="BodyZ"/>
        <w:spacing w:after="100" w:line="264" w:lineRule="auto"/>
      </w:pPr>
      <w:r>
        <w:t>Se il builder è incoerente, i path saltano. Se il runner non normalizza bene, i report blocks ereditano rumore. Se il generator semplifica troppo, il draft perde valore analitico. Per questo vanno letti come pipeline unica e non come componenti indipendenti casuali.</w:t>
      </w:r>
    </w:p>
    <w:p/>
    <w:p>
      <w:pPr>
        <w:pStyle w:val="Heading1Z"/>
      </w:pPr>
      <w:r>
        <w:t>8. Limiti e attenzioni da ricordare</w:t>
      </w:r>
    </w:p>
    <w:p>
      <w:pPr>
        <w:pStyle w:val="BodyZ"/>
        <w:spacing w:after="100" w:line="264" w:lineRule="auto"/>
      </w:pPr>
      <w:r>
        <w:t>Il package ASSESS, allo stato attuale, copre in modo robusto solo la parte pre-VA.</w:t>
      </w:r>
    </w:p>
    <w:p>
      <w:pPr>
        <w:pStyle w:val="BodyZ"/>
        <w:spacing w:after="100" w:line="264" w:lineRule="auto"/>
      </w:pPr>
      <w:r>
        <w:t>I moduli sono volutamente aggressivi ma non devono sconfinare in logiche da vulnerability detection già coperte da Nessus/OpenVAS.</w:t>
      </w:r>
    </w:p>
    <w:p>
      <w:pPr>
        <w:pStyle w:val="BodyZ"/>
        <w:spacing w:after="100" w:line="264" w:lineRule="auto"/>
      </w:pPr>
      <w:r>
        <w:t>Il rischio prodotto da generate_assessment_report_blocks1.sh è una lettura preliminare: il giudizio finale dipenderà dall’ingest dei report VA.</w:t>
      </w:r>
    </w:p>
    <w:p>
      <w:pPr>
        <w:pStyle w:val="BodyZ"/>
        <w:spacing w:after="100" w:line="264" w:lineRule="auto"/>
      </w:pPr>
      <w:r>
        <w:t>I placeholder tecnici come IFACE, GATEWAY, DNS_IP e LOCAL_SUBNET sono variabili runtime, ricavate automaticamente dai moduli precedenti.</w:t>
      </w:r>
    </w:p>
    <w:p>
      <w:pPr>
        <w:pStyle w:val="BodyZ"/>
        <w:spacing w:after="100" w:line="264" w:lineRule="auto"/>
      </w:pPr>
      <w:r>
        <w:t>L’automazione accelera il lavoro, ma non sostituisce il controllo tecnico dell’analista sui dataset, sui target promossi a core candidate e sulla coerenza del contesto osservato.</w:t>
      </w:r>
    </w:p>
    <w:p/>
    <w:p>
      <w:pPr>
        <w:pStyle w:val="Heading1Z"/>
      </w:pPr>
      <w:r>
        <w:t>9. Procedura pratica di utilizzo</w:t>
      </w:r>
    </w:p>
    <w:p>
      <w:pPr>
        <w:pStyle w:val="BodyZ"/>
        <w:spacing w:after="100" w:line="264" w:lineRule="auto"/>
      </w:pPr>
      <w:r>
        <w:t>1. Creare l’engagement con new_engagement_assessment.sh &lt;CLIENTE&gt;.</w:t>
      </w:r>
    </w:p>
    <w:p>
      <w:pPr>
        <w:pStyle w:val="BodyZ"/>
        <w:spacing w:after="100" w:line="264" w:lineRule="auto"/>
      </w:pPr>
      <w:r>
        <w:t>2. Compilare, se necessario, i file seed in scope/ con le note di access point e hypothesis.</w:t>
      </w:r>
    </w:p>
    <w:p>
      <w:pPr>
        <w:pStyle w:val="BodyZ"/>
        <w:spacing w:after="100" w:line="264" w:lineRule="auto"/>
      </w:pPr>
      <w:r>
        <w:t>3. Lanciare run_assessment.sh &lt;ENGAGEMENT_PATH&gt;.</w:t>
      </w:r>
    </w:p>
    <w:p>
      <w:pPr>
        <w:pStyle w:val="BodyZ"/>
        <w:spacing w:after="100" w:line="264" w:lineRule="auto"/>
      </w:pPr>
      <w:r>
        <w:t>4. Controllare rapidamente i file chiave in processed/phase2 e i risultati in scans/phase2.</w:t>
      </w:r>
    </w:p>
    <w:p>
      <w:pPr>
        <w:pStyle w:val="BodyZ"/>
        <w:spacing w:after="100" w:line="264" w:lineRule="auto"/>
      </w:pPr>
      <w:r>
        <w:t>5. Lanciare generate_assessment_report_blocks1.sh &lt;ENGAGEMENT_PATH&gt;.</w:t>
      </w:r>
    </w:p>
    <w:p>
      <w:pPr>
        <w:pStyle w:val="BodyZ"/>
        <w:spacing w:after="100" w:line="264" w:lineRule="auto"/>
      </w:pPr>
      <w:r>
        <w:t>6. Aprire assessment_report_draft_phase1.md e leggere i blocchi prodotti.</w:t>
      </w:r>
    </w:p>
    <w:p>
      <w:pPr>
        <w:pStyle w:val="BodyZ"/>
        <w:spacing w:after="100" w:line="264" w:lineRule="auto"/>
      </w:pPr>
      <w:r>
        <w:t>7. Proseguire con la pipeline VA separata e con il futuro generate_assessment_report_blocks2.sh.</w:t>
      </w:r>
    </w:p>
    <w:p/>
    <w:p>
      <w:pPr>
        <w:pStyle w:val="Heading1Z"/>
      </w:pPr>
      <w:r>
        <w:t>10. Conclusione</w:t>
      </w:r>
    </w:p>
    <w:p>
      <w:pPr>
        <w:pStyle w:val="BodyZ"/>
        <w:spacing w:after="100" w:line="264" w:lineRule="auto"/>
      </w:pPr>
      <w:r>
        <w:t>La forza di questa pipeline non è nella mera esecuzione dei comandi, ma nella disciplina con cui i dati vengono raccolti, normalizzati e trasformati. new_engagement_assessment.sh prepara il terreno, run_assessment.sh costruisce la fotografia tecnica interna pre-VA e generate_assessment_report_blocks1.sh la rende leggibile. Il valore finale nasce quando questa base viene completata con l’ingest del Vulnerability Assessment e con la lettura tecnica dell’analista.</w:t>
      </w:r>
    </w:p>
    <w:p/>
    <w:p>
      <w:pPr>
        <w:pStyle w:val="Heading1Z"/>
      </w:pPr>
      <w:r>
        <w:t>Appendice A — Output principali prodotti dalla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6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9"/>
              </w:rPr>
              <w:t>File</w:t>
            </w:r>
          </w:p>
        </w:tc>
        <w:tc>
          <w:tcPr>
            <w:tcW w:type="dxa" w:w="3312"/>
            <w:shd w:fill="D9E6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9"/>
              </w:rPr>
              <w:t>Tipo</w:t>
            </w:r>
          </w:p>
        </w:tc>
        <w:tc>
          <w:tcPr>
            <w:tcW w:type="dxa" w:w="3312"/>
            <w:shd w:fill="D9E6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9"/>
              </w:rPr>
              <w:t>Significato</w:t>
            </w:r>
          </w:p>
        </w:tc>
      </w:tr>
      <w:tr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scope/engagement.yaml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Seed / metadata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Identità dell’engagement ASSESS e stato fasi</w:t>
            </w:r>
          </w:p>
        </w:tc>
      </w:tr>
      <w:tr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processed/phase2/initial_access.json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Processato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Contesto locale del nodo di ingresso</w:t>
            </w:r>
          </w:p>
        </w:tc>
      </w:tr>
      <w:tr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processed/phase2/l2_hosts.csv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Processato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Host L2, MAC e vendor del segmento locale</w:t>
            </w:r>
          </w:p>
        </w:tc>
      </w:tr>
      <w:tr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processed/phase2/live_hosts.csv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Processato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Host L3 raggiungibili confermati</w:t>
            </w:r>
          </w:p>
        </w:tc>
      </w:tr>
      <w:tr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processed/phase2/services_top.csv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Processato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Prime porte e servizi aperti sui live host</w:t>
            </w:r>
          </w:p>
        </w:tc>
      </w:tr>
      <w:tr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processed/phase2/infra_candidates.csv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Processato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Asset promossi come core candidate</w:t>
            </w:r>
          </w:p>
        </w:tc>
      </w:tr>
      <w:tr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processed/phase2/core_asset_fingerprint.csv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Processato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Hint di ruolo, OS, TLS, web e DNS dei target core</w:t>
            </w:r>
          </w:p>
        </w:tc>
      </w:tr>
      <w:tr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processed/assessment_findings_phase1.txt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Sintetico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Finding preliminari prima del VA</w:t>
            </w:r>
          </w:p>
        </w:tc>
      </w:tr>
      <w:tr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processed/risk_matrix_phase1.csv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Strutturato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Matrice rischio preliminare phase1</w:t>
            </w:r>
          </w:p>
        </w:tc>
      </w:tr>
      <w:tr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report/assessment_report_draft_phase1.md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Draft report</w:t>
            </w:r>
          </w:p>
        </w:tc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Assemblaggio dei blocchi markdown pre-VA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ZBFOX — Guida tecnica interna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Z">
    <w:name w:val="TitleZ"/>
    <w:rPr>
      <w:rFonts w:ascii="Aptos" w:hAnsi="Aptos"/>
      <w:b/>
      <w:color w:val="161C26"/>
      <w:sz w:val="44"/>
    </w:rPr>
  </w:style>
  <w:style w:type="paragraph" w:customStyle="1" w:styleId="SubTitleZ">
    <w:name w:val="SubTitleZ"/>
    <w:rPr>
      <w:rFonts w:ascii="Aptos" w:hAnsi="Aptos"/>
      <w:b w:val="0"/>
      <w:color w:val="5A626E"/>
      <w:sz w:val="24"/>
    </w:rPr>
  </w:style>
  <w:style w:type="paragraph" w:customStyle="1" w:styleId="Heading1Z">
    <w:name w:val="Heading1Z"/>
    <w:rPr>
      <w:rFonts w:ascii="Aptos" w:hAnsi="Aptos"/>
      <w:b/>
      <w:color w:val="161C26"/>
      <w:sz w:val="30"/>
    </w:rPr>
  </w:style>
  <w:style w:type="paragraph" w:customStyle="1" w:styleId="Heading2Z">
    <w:name w:val="Heading2Z"/>
    <w:rPr>
      <w:rFonts w:ascii="Aptos" w:hAnsi="Aptos"/>
      <w:b/>
      <w:color w:val="244066"/>
      <w:sz w:val="24"/>
    </w:rPr>
  </w:style>
  <w:style w:type="paragraph" w:customStyle="1" w:styleId="BodyZ">
    <w:name w:val="BodyZ"/>
    <w:rPr>
      <w:rFonts w:ascii="Aptos" w:hAnsi="Aptos"/>
      <w:b w:val="0"/>
      <w:color w:val="1E1E1E"/>
      <w:sz w:val="21"/>
    </w:rPr>
  </w:style>
  <w:style w:type="paragraph" w:customStyle="1" w:styleId="SmallZ">
    <w:name w:val="SmallZ"/>
    <w:rPr>
      <w:rFonts w:ascii="Aptos" w:hAnsi="Aptos"/>
      <w:b w:val="0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