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28C28"/>
          <w:sz w:val="52"/>
        </w:rPr>
        <w:t>ZBFOX</w:t>
        <w:br/>
      </w:r>
      <w:r>
        <w:rPr>
          <w:b/>
          <w:color w:val="23C7D9"/>
          <w:sz w:val="44"/>
        </w:rPr>
        <w:t>Snapshot External</w:t>
        <w:br/>
      </w:r>
      <w:r>
        <w:rPr>
          <w:b w:val="0"/>
          <w:color w:val="1E1E1E"/>
          <w:sz w:val="28"/>
        </w:rPr>
        <w:t>Guida tecnica dettagliata di run_external_snapshot.sh e generate_external_report_blocks.sh</w:t>
      </w:r>
    </w:p>
    <w:p/>
    <w:p/>
    <w:p>
      <w:pPr>
        <w:jc w:val="center"/>
      </w:pPr>
      <w:r>
        <w:rPr>
          <w:i/>
          <w:sz w:val="22"/>
        </w:rPr>
        <w:t>Documento di studio interno pensato per spiegare, passo per passo, cosa fanno i due script, quali file leggono e scrivono, quale logica seguono, quali decisioni prendono e quali limiti hanno.</w:t>
      </w:r>
    </w:p>
    <w:p/>
    <w:tbl>
      <w:tblPr>
        <w:tblStyle w:val="TableGrid"/>
        <w:tblW w:type="auto" w:w="0"/>
        <w:jc w:val="center"/>
        <w:tblLook w:firstColumn="1" w:firstRow="1" w:lastColumn="0" w:lastRow="0" w:noHBand="0" w:noVBand="1" w:val="04A0"/>
      </w:tblPr>
      <w:tblGrid>
        <w:gridCol w:w="4968"/>
        <w:gridCol w:w="4968"/>
      </w:tblGrid>
      <w:tr>
        <w:tc>
          <w:tcPr>
            <w:tcW w:type="dxa" w:w="4968"/>
            <w:shd w:fill="E8EDF2"/>
            <w:vAlign w:val="center"/>
          </w:tcPr>
          <w:p>
            <w:r>
              <w:t>Ambito</w:t>
            </w:r>
          </w:p>
        </w:tc>
        <w:tc>
          <w:tcPr>
            <w:tcW w:type="dxa" w:w="4968"/>
            <w:vAlign w:val="center"/>
          </w:tcPr>
          <w:p>
            <w:r>
              <w:t>Pacchetto ZBFOX Cyber Snapshot - modalità external</w:t>
            </w:r>
          </w:p>
        </w:tc>
      </w:tr>
      <w:tr>
        <w:tc>
          <w:tcPr>
            <w:tcW w:type="dxa" w:w="4968"/>
            <w:shd w:fill="E8EDF2"/>
            <w:vAlign w:val="center"/>
          </w:tcPr>
          <w:p>
            <w:r>
              <w:t>Script analizzati</w:t>
            </w:r>
          </w:p>
        </w:tc>
        <w:tc>
          <w:tcPr>
            <w:tcW w:type="dxa" w:w="4968"/>
            <w:vAlign w:val="center"/>
          </w:tcPr>
          <w:p>
            <w:r>
              <w:t>run_external_snapshot.sh; generate_external_report_blocks.sh</w:t>
            </w:r>
          </w:p>
        </w:tc>
      </w:tr>
      <w:tr>
        <w:tc>
          <w:tcPr>
            <w:tcW w:type="dxa" w:w="4968"/>
            <w:shd w:fill="E8EDF2"/>
            <w:vAlign w:val="center"/>
          </w:tcPr>
          <w:p>
            <w:r>
              <w:t>Obiettivo</w:t>
            </w:r>
          </w:p>
        </w:tc>
        <w:tc>
          <w:tcPr>
            <w:tcW w:type="dxa" w:w="4968"/>
            <w:vAlign w:val="center"/>
          </w:tcPr>
          <w:p>
            <w:r>
              <w:t>Comprendere la pipeline tecnica e la preparazione dei blocchi report</w:t>
            </w:r>
          </w:p>
        </w:tc>
      </w:tr>
      <w:tr>
        <w:tc>
          <w:tcPr>
            <w:tcW w:type="dxa" w:w="4968"/>
            <w:shd w:fill="E8EDF2"/>
            <w:vAlign w:val="center"/>
          </w:tcPr>
          <w:p>
            <w:r>
              <w:t>Uso del documento</w:t>
            </w:r>
          </w:p>
        </w:tc>
        <w:tc>
          <w:tcPr>
            <w:tcW w:type="dxa" w:w="4968"/>
            <w:vAlign w:val="center"/>
          </w:tcPr>
          <w:p>
            <w:r>
              <w:t>Studio, onboarding, verifica del workflow, futura manutenzione</w:t>
            </w:r>
          </w:p>
        </w:tc>
      </w:tr>
    </w:tbl>
    <w:p>
      <w:r>
        <w:br w:type="page"/>
      </w:r>
    </w:p>
    <w:p>
      <w:pPr>
        <w:pStyle w:val="Heading1"/>
      </w:pPr>
      <w:r>
        <w:t>1. Scopo del documento</w:t>
      </w:r>
    </w:p>
    <w:p>
      <w:r>
        <w:t>Questo documento descrive in modo operativo e sequenziale i due script che, insieme, coprono la parte centrale del pacchetto Snapshot External:</w:t>
      </w:r>
    </w:p>
    <w:p>
      <w:pPr>
        <w:spacing w:after="40" w:before="0"/>
        <w:ind w:left="288"/>
      </w:pPr>
      <w:r>
        <w:rPr>
          <w:b/>
        </w:rPr>
        <w:t xml:space="preserve">• </w:t>
      </w:r>
      <w:r>
        <w:t>run_external_snapshot.sh: esegue la ricognizione tecnica esterna e produce gli output grezzi e processati.</w:t>
      </w:r>
    </w:p>
    <w:p>
      <w:pPr>
        <w:spacing w:after="40" w:before="0"/>
        <w:ind w:left="288"/>
      </w:pPr>
      <w:r>
        <w:rPr>
          <w:b/>
        </w:rPr>
        <w:t xml:space="preserve">• </w:t>
      </w:r>
      <w:r>
        <w:t>generate_external_report_blocks.sh: legge gli output prodotti, li sintetizza e prepara blocchi di testo oggettivi per il report.</w:t>
      </w:r>
    </w:p>
    <w:p>
      <w:r>
        <w:t>L'obiettivo non è soltanto dire quali comandi partono, ma chiarire la logica complessiva: perché viene eseguito ciascun modulo, quali file rappresentano input, quali file diventano output, come si passa da dati grezzi a materiale leggibile e come vengono proposte le prime classificazioni di rischio.</w:t>
      </w:r>
    </w:p>
    <w:p>
      <w:pPr>
        <w:pStyle w:val="Heading1"/>
      </w:pPr>
      <w:r>
        <w:t>2. Visione d'insieme della pipeline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FCE4D6"/>
          </w:tcPr>
          <w:p>
            <w:r>
              <w:t>Input autorizzato</w:t>
            </w:r>
          </w:p>
        </w:tc>
        <w:tc>
          <w:tcPr>
            <w:tcW w:type="dxa" w:w="1987"/>
            <w:shd w:fill="DDEBF7"/>
          </w:tcPr>
          <w:p>
            <w:r>
              <w:t>Ricognizione tecnica</w:t>
            </w:r>
          </w:p>
        </w:tc>
        <w:tc>
          <w:tcPr>
            <w:tcW w:type="dxa" w:w="1987"/>
            <w:shd w:fill="E2F0D9"/>
          </w:tcPr>
          <w:p>
            <w:r>
              <w:t>Normalizzazione</w:t>
            </w:r>
          </w:p>
        </w:tc>
        <w:tc>
          <w:tcPr>
            <w:tcW w:type="dxa" w:w="1987"/>
            <w:shd w:fill="FFF2CC"/>
          </w:tcPr>
          <w:p>
            <w:r>
              <w:t>Sintesi oggettiva</w:t>
            </w:r>
          </w:p>
        </w:tc>
        <w:tc>
          <w:tcPr>
            <w:tcW w:type="dxa" w:w="1987"/>
            <w:shd w:fill="EDEDED"/>
          </w:tcPr>
          <w:p>
            <w:r>
              <w:t>Scrittura report</w:t>
            </w:r>
          </w:p>
        </w:tc>
      </w:tr>
      <w:tr>
        <w:tc>
          <w:tcPr>
            <w:tcW w:type="dxa" w:w="1987"/>
          </w:tcPr>
          <w:p>
            <w:r>
              <w:t>targets.txt</w:t>
            </w:r>
          </w:p>
        </w:tc>
        <w:tc>
          <w:tcPr>
            <w:tcW w:type="dxa" w:w="1987"/>
          </w:tcPr>
          <w:p>
            <w:r>
              <w:t>theHarvester / subfinder / amass / dnsx / httpx / nmap</w:t>
            </w:r>
          </w:p>
        </w:tc>
        <w:tc>
          <w:tcPr>
            <w:tcW w:type="dxa" w:w="1987"/>
          </w:tcPr>
          <w:p>
            <w:r>
              <w:t>all_hosts.txt / live_hosts.txt</w:t>
            </w:r>
          </w:p>
        </w:tc>
        <w:tc>
          <w:tcPr>
            <w:tcW w:type="dxa" w:w="1987"/>
          </w:tcPr>
          <w:p>
            <w:r>
              <w:t>blocchi .md / findings / risk matrix</w:t>
            </w:r>
          </w:p>
        </w:tc>
        <w:tc>
          <w:tcPr>
            <w:tcW w:type="dxa" w:w="1987"/>
          </w:tcPr>
          <w:p>
            <w:r>
              <w:t>attività manuale dell'analista</w:t>
            </w:r>
          </w:p>
        </w:tc>
      </w:tr>
    </w:tbl>
    <w:p/>
    <w:p>
      <w:pPr>
        <w:spacing w:after="40" w:before="0"/>
        <w:ind w:left="288"/>
      </w:pPr>
      <w:r>
        <w:rPr>
          <w:b/>
        </w:rPr>
        <w:t xml:space="preserve">• </w:t>
      </w:r>
      <w:r>
        <w:t>Il primo script non scrive il report: costruisce una fotografia tecnica dell'esposizione Internet.</w:t>
      </w:r>
    </w:p>
    <w:p>
      <w:pPr>
        <w:spacing w:after="40" w:before="0"/>
        <w:ind w:left="288"/>
      </w:pPr>
      <w:r>
        <w:rPr>
          <w:b/>
        </w:rPr>
        <w:t xml:space="preserve">• </w:t>
      </w:r>
      <w:r>
        <w:t>Il secondo script non sostituisce l'analista: prepara una base già strutturata e leggibile.</w:t>
      </w:r>
    </w:p>
    <w:p>
      <w:pPr>
        <w:spacing w:after="40" w:before="0"/>
        <w:ind w:left="288"/>
      </w:pPr>
      <w:r>
        <w:rPr>
          <w:b/>
        </w:rPr>
        <w:t xml:space="preserve">• </w:t>
      </w:r>
      <w:r>
        <w:t>La revisione finale resta umana: i blocchi auto-generati servono a velocizzare, non a delegare il giudizio.</w:t>
      </w:r>
    </w:p>
    <w:p>
      <w:pPr>
        <w:pStyle w:val="Heading1"/>
      </w:pPr>
      <w:r>
        <w:t>3. Struttura delle cartelle usate dagli script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Cartella</w:t>
            </w:r>
          </w:p>
        </w:tc>
        <w:tc>
          <w:tcPr>
            <w:tcW w:type="dxa" w:w="3312"/>
            <w:shd w:fill="D9EAF7"/>
          </w:tcPr>
          <w:p>
            <w:r>
              <w:t>Funzione</w:t>
            </w:r>
          </w:p>
        </w:tc>
        <w:tc>
          <w:tcPr>
            <w:tcW w:type="dxa" w:w="3312"/>
            <w:shd w:fill="D9EAF7"/>
          </w:tcPr>
          <w:p>
            <w:r>
              <w:t>Usata da</w:t>
            </w:r>
          </w:p>
        </w:tc>
      </w:tr>
      <w:tr>
        <w:tc>
          <w:tcPr>
            <w:tcW w:type="dxa" w:w="3312"/>
          </w:tcPr>
          <w:p>
            <w:r>
              <w:t>scope</w:t>
            </w:r>
          </w:p>
        </w:tc>
        <w:tc>
          <w:tcPr>
            <w:tcW w:type="dxa" w:w="3312"/>
          </w:tcPr>
          <w:p>
            <w:r>
              <w:t>Contiene il perimetro dichiarato dell'engagement: metadati e target autorizzati.</w:t>
            </w:r>
          </w:p>
        </w:tc>
        <w:tc>
          <w:tcPr>
            <w:tcW w:type="dxa" w:w="3312"/>
          </w:tcPr>
          <w:p>
            <w:r>
              <w:t>Entrambi</w:t>
            </w:r>
          </w:p>
        </w:tc>
      </w:tr>
      <w:tr>
        <w:tc>
          <w:tcPr>
            <w:tcW w:type="dxa" w:w="3312"/>
          </w:tcPr>
          <w:p>
            <w:r>
              <w:t>notes</w:t>
            </w:r>
          </w:p>
        </w:tc>
        <w:tc>
          <w:tcPr>
            <w:tcW w:type="dxa" w:w="3312"/>
          </w:tcPr>
          <w:p>
            <w:r>
              <w:t>Contiene timeline e note di lavorazione.</w:t>
            </w:r>
          </w:p>
        </w:tc>
        <w:tc>
          <w:tcPr>
            <w:tcW w:type="dxa" w:w="3312"/>
          </w:tcPr>
          <w:p>
            <w:r>
              <w:t>Entrambi</w:t>
            </w:r>
          </w:p>
        </w:tc>
      </w:tr>
      <w:tr>
        <w:tc>
          <w:tcPr>
            <w:tcW w:type="dxa" w:w="3312"/>
          </w:tcPr>
          <w:p>
            <w:r>
              <w:t>raw</w:t>
            </w:r>
          </w:p>
        </w:tc>
        <w:tc>
          <w:tcPr>
            <w:tcW w:type="dxa" w:w="3312"/>
          </w:tcPr>
          <w:p>
            <w:r>
              <w:t>Contiene gli output grezzi dei tool senza rielaborazione semantica.</w:t>
            </w:r>
          </w:p>
        </w:tc>
        <w:tc>
          <w:tcPr>
            <w:tcW w:type="dxa" w:w="3312"/>
          </w:tcPr>
          <w:p>
            <w:r>
              <w:t>run_external</w:t>
            </w:r>
          </w:p>
        </w:tc>
      </w:tr>
      <w:tr>
        <w:tc>
          <w:tcPr>
            <w:tcW w:type="dxa" w:w="3312"/>
          </w:tcPr>
          <w:p>
            <w:r>
              <w:t>processed</w:t>
            </w:r>
          </w:p>
        </w:tc>
        <w:tc>
          <w:tcPr>
            <w:tcW w:type="dxa" w:w="3312"/>
          </w:tcPr>
          <w:p>
            <w:r>
              <w:t>Contiene gli output filtrati, deduplicati o strutturati per la fase successiva.</w:t>
            </w:r>
          </w:p>
        </w:tc>
        <w:tc>
          <w:tcPr>
            <w:tcW w:type="dxa" w:w="3312"/>
          </w:tcPr>
          <w:p>
            <w:r>
              <w:t>Entrambi</w:t>
            </w:r>
          </w:p>
        </w:tc>
      </w:tr>
      <w:tr>
        <w:tc>
          <w:tcPr>
            <w:tcW w:type="dxa" w:w="3312"/>
          </w:tcPr>
          <w:p>
            <w:r>
              <w:t>evidence</w:t>
            </w:r>
          </w:p>
        </w:tc>
        <w:tc>
          <w:tcPr>
            <w:tcW w:type="dxa" w:w="3312"/>
          </w:tcPr>
          <w:p>
            <w:r>
              <w:t>Contiene estratti sintetici o file utili a evidenziare ciò che merita attenzione.</w:t>
            </w:r>
          </w:p>
        </w:tc>
        <w:tc>
          <w:tcPr>
            <w:tcW w:type="dxa" w:w="3312"/>
          </w:tcPr>
          <w:p>
            <w:r>
              <w:t>run_external</w:t>
            </w:r>
          </w:p>
        </w:tc>
      </w:tr>
      <w:tr>
        <w:tc>
          <w:tcPr>
            <w:tcW w:type="dxa" w:w="3312"/>
          </w:tcPr>
          <w:p>
            <w:r>
              <w:t>report</w:t>
            </w:r>
          </w:p>
        </w:tc>
        <w:tc>
          <w:tcPr>
            <w:tcW w:type="dxa" w:w="3312"/>
          </w:tcPr>
          <w:p>
            <w:r>
              <w:t>Contiene i blocchi di testo pronti per essere letti e trasformati in report finale.</w:t>
            </w:r>
          </w:p>
        </w:tc>
        <w:tc>
          <w:tcPr>
            <w:tcW w:type="dxa" w:w="3312"/>
          </w:tcPr>
          <w:p>
            <w:r>
              <w:t>generate_external</w:t>
            </w:r>
          </w:p>
        </w:tc>
      </w:tr>
    </w:tbl>
    <w:p>
      <w:pPr>
        <w:pStyle w:val="Heading1"/>
      </w:pPr>
      <w:r>
        <w:t>4. run_external_snapshot.sh - spiegazione completa</w:t>
      </w:r>
    </w:p>
    <w:p>
      <w:pPr>
        <w:pStyle w:val="Heading2"/>
      </w:pPr>
      <w:r>
        <w:t>4.1 Obiettivo operativo</w:t>
      </w:r>
    </w:p>
    <w:p>
      <w:r>
        <w:t>Questo script prende un engagement già creato in modalità external, chiede i target all'operatore, esegue la pipeline di ricognizione esterna e deposita gli output in una struttura coerente. Il suo scopo è rispondere a una domanda precisa: "qual è la superficie pubblica osservabile del cliente, quali host risultano live, quali servizi espongono e quali primi elementi meritano attenzione?"</w:t>
      </w:r>
    </w:p>
    <w:p>
      <w:pPr>
        <w:pStyle w:val="Heading2"/>
      </w:pPr>
      <w:r>
        <w:t>4.2 Input richiesti</w:t>
      </w:r>
    </w:p>
    <w:p>
      <w:pPr>
        <w:spacing w:after="40" w:before="0"/>
        <w:ind w:left="288"/>
      </w:pPr>
      <w:r>
        <w:rPr>
          <w:b/>
        </w:rPr>
        <w:t xml:space="preserve">• </w:t>
      </w:r>
      <w:r>
        <w:t>Argomento da riga di comando: ENGAGEMENT_PATH.</w:t>
      </w:r>
    </w:p>
    <w:p>
      <w:pPr>
        <w:spacing w:after="40" w:before="0"/>
        <w:ind w:left="288"/>
      </w:pPr>
      <w:r>
        <w:rPr>
          <w:b/>
        </w:rPr>
        <w:t xml:space="preserve">• </w:t>
      </w:r>
      <w:r>
        <w:t>Interazione da tastiera: uno o più target esterni, inseriti manualmente dall'operatore.</w:t>
      </w:r>
    </w:p>
    <w:p>
      <w:pPr>
        <w:spacing w:after="40" w:before="0"/>
        <w:ind w:left="288"/>
      </w:pPr>
      <w:r>
        <w:rPr>
          <w:b/>
        </w:rPr>
        <w:t xml:space="preserve">• </w:t>
      </w:r>
      <w:r>
        <w:t>Prerequisiti di contesto: engagement.yaml deve indicare mode: external.</w:t>
      </w:r>
    </w:p>
    <w:p>
      <w:pPr>
        <w:spacing w:after="40" w:before="0"/>
        <w:ind w:left="288"/>
      </w:pPr>
      <w:r>
        <w:rPr>
          <w:b/>
        </w:rPr>
        <w:t xml:space="preserve">• </w:t>
      </w:r>
      <w:r>
        <w:t>Prerequisiti tecnici: i tool theHarvester, subfinder, amass, dnsx, httpx e nmap devono essere presenti nel sistema.</w:t>
      </w:r>
    </w:p>
    <w:p>
      <w:pPr>
        <w:pStyle w:val="Heading2"/>
      </w:pPr>
      <w:r>
        <w:t>4.3 Controlli iniziali</w:t>
      </w:r>
    </w:p>
    <w:p>
      <w:pPr>
        <w:spacing w:after="40" w:before="0"/>
        <w:ind w:left="288"/>
      </w:pPr>
      <w:r>
        <w:rPr>
          <w:b/>
        </w:rPr>
        <w:t xml:space="preserve">• </w:t>
      </w:r>
      <w:r>
        <w:t>Stampa il banner ufficiale ZBFOX.</w:t>
      </w:r>
    </w:p>
    <w:p>
      <w:pPr>
        <w:spacing w:after="40" w:before="0"/>
        <w:ind w:left="288"/>
      </w:pPr>
      <w:r>
        <w:rPr>
          <w:b/>
        </w:rPr>
        <w:t xml:space="preserve">• </w:t>
      </w:r>
      <w:r>
        <w:t>Verifica che sia stato passato esattamente un percorso engagement.</w:t>
      </w:r>
    </w:p>
    <w:p>
      <w:pPr>
        <w:spacing w:after="40" w:before="0"/>
        <w:ind w:left="288"/>
      </w:pPr>
      <w:r>
        <w:rPr>
          <w:b/>
        </w:rPr>
        <w:t xml:space="preserve">• </w:t>
      </w:r>
      <w:r>
        <w:t>Controlla che la directory esista.</w:t>
      </w:r>
    </w:p>
    <w:p>
      <w:pPr>
        <w:spacing w:after="40" w:before="0"/>
        <w:ind w:left="288"/>
      </w:pPr>
      <w:r>
        <w:rPr>
          <w:b/>
        </w:rPr>
        <w:t xml:space="preserve">• </w:t>
      </w:r>
      <w:r>
        <w:t>Controlla la presenza delle cartelle necessarie: scope, notes, raw, processed, evidence, report.</w:t>
      </w:r>
    </w:p>
    <w:p>
      <w:pPr>
        <w:spacing w:after="40" w:before="0"/>
        <w:ind w:left="288"/>
      </w:pPr>
      <w:r>
        <w:rPr>
          <w:b/>
        </w:rPr>
        <w:t xml:space="preserve">• </w:t>
      </w:r>
      <w:r>
        <w:t>Verifica che engagement.yaml esista.</w:t>
      </w:r>
    </w:p>
    <w:p>
      <w:pPr>
        <w:spacing w:after="40" w:before="0"/>
        <w:ind w:left="288"/>
      </w:pPr>
      <w:r>
        <w:rPr>
          <w:b/>
        </w:rPr>
        <w:t xml:space="preserve">• </w:t>
      </w:r>
      <w:r>
        <w:t>Verifica che l'engagement sia realmente di tipo external.</w:t>
      </w:r>
    </w:p>
    <w:p>
      <w:pPr>
        <w:spacing w:after="40" w:before="0"/>
        <w:ind w:left="288"/>
      </w:pPr>
      <w:r>
        <w:rPr>
          <w:b/>
        </w:rPr>
        <w:t xml:space="preserve">• </w:t>
      </w:r>
      <w:r>
        <w:t>Verifica che i tool richiesti siano installati.</w:t>
      </w:r>
    </w:p>
    <w:p>
      <w:r>
        <w:t>Questa fase serve a impedire esecuzioni ambigue o incoerenti. Lo script preferisce fermarsi subito, anziché produrre risultati incompleti in un engagement sbagliato.</w:t>
      </w:r>
    </w:p>
    <w:p>
      <w:pPr>
        <w:pStyle w:val="Heading2"/>
      </w:pPr>
      <w:r>
        <w:t>4.4 Compilazione di targets.txt</w:t>
      </w:r>
    </w:p>
    <w:p>
      <w:r>
        <w:t>Lo script non assume che targets.txt sia già stato compilato. Apre quindi una fase interattiva in cui l'operatore inserisce i target uno per riga. Sono ammessi domini, IP e subnet. Una riga vuota termina l'inserimento.</w:t>
      </w:r>
    </w:p>
    <w:p>
      <w:pPr>
        <w:spacing w:after="40" w:before="0"/>
        <w:ind w:left="288"/>
      </w:pPr>
      <w:r>
        <w:rPr>
          <w:b/>
        </w:rPr>
        <w:t xml:space="preserve">• </w:t>
      </w:r>
      <w:r>
        <w:t>Il file scope/targets.txt viene svuotato e riscritto.</w:t>
      </w:r>
    </w:p>
    <w:p>
      <w:pPr>
        <w:spacing w:after="40" w:before="0"/>
        <w:ind w:left="288"/>
      </w:pPr>
      <w:r>
        <w:rPr>
          <w:b/>
        </w:rPr>
        <w:t xml:space="preserve">• </w:t>
      </w:r>
      <w:r>
        <w:t>I target vengono ordinati e deduplicati.</w:t>
      </w:r>
    </w:p>
    <w:p>
      <w:pPr>
        <w:spacing w:after="40" w:before="0"/>
        <w:ind w:left="288"/>
      </w:pPr>
      <w:r>
        <w:rPr>
          <w:b/>
        </w:rPr>
        <w:t xml:space="preserve">• </w:t>
      </w:r>
      <w:r>
        <w:t>Se non viene inserito alcun target, lo script termina.</w:t>
      </w:r>
    </w:p>
    <w:p>
      <w:r>
        <w:t>Concettualmente, questa scelta rende lo script di ricognizione anche responsabile della definizione effettiva del perimetro operativo immediato. new_engagement.sh crea l'engagement; run_external_snapshot.sh lo rende operativo.</w:t>
      </w:r>
    </w:p>
    <w:p>
      <w:pPr>
        <w:pStyle w:val="Heading2"/>
      </w:pPr>
      <w:r>
        <w:t>4.5 Timeline e tracciabilità</w:t>
      </w:r>
    </w:p>
    <w:p>
      <w:r>
        <w:t>Ogni esecuzione aggiorna notes/timeline.md. Questo file non contiene solo il fatto che lo script è partito o finito, ma anche i target processati e i moduli eseguiti. La timeline è utile sia per ricostruire il flusso tecnico, sia per avere una traccia minima utilizzabile in revisione o in caso di manutenzione futura.</w:t>
      </w:r>
    </w:p>
    <w:p>
      <w:pPr>
        <w:pStyle w:val="Heading2"/>
      </w:pPr>
      <w:r>
        <w:t>4.6 Fase 1 - OSINT aziendale con theHarvester</w:t>
      </w:r>
    </w:p>
    <w:p>
      <w:r>
        <w:t>Per ogni target, lo script lancia theHarvester e concatena gli output in raw/theharvester.txt. Subito dopo, esegue una prima estrazione conservativa di host e domini che contengono il target, depositandoli in processed/osint_hosts.txt.</w:t>
      </w:r>
    </w:p>
    <w:p>
      <w:pPr>
        <w:spacing w:after="40" w:before="0"/>
        <w:ind w:left="288"/>
      </w:pPr>
      <w:r>
        <w:rPr>
          <w:b/>
        </w:rPr>
        <w:t xml:space="preserve">• </w:t>
      </w:r>
      <w:r>
        <w:t>Scopo tecnico: ricavare host e riferimenti emersi da fonti OSINT.</w:t>
      </w:r>
    </w:p>
    <w:p>
      <w:pPr>
        <w:spacing w:after="40" w:before="0"/>
        <w:ind w:left="288"/>
      </w:pPr>
      <w:r>
        <w:rPr>
          <w:b/>
        </w:rPr>
        <w:t xml:space="preserve">• </w:t>
      </w:r>
      <w:r>
        <w:t>Tipo di dato prodotto: grezzo in raw, operativo e deduplicato in processed.</w:t>
      </w:r>
    </w:p>
    <w:p>
      <w:pPr>
        <w:spacing w:after="40" w:before="0"/>
        <w:ind w:left="288"/>
      </w:pPr>
      <w:r>
        <w:rPr>
          <w:b/>
        </w:rPr>
        <w:t xml:space="preserve">• </w:t>
      </w:r>
      <w:r>
        <w:t>Limite: l'estrazione automatica è prudente e non sostituisce una lettura umana se l'output è rumoroso.</w:t>
      </w:r>
    </w:p>
    <w:p>
      <w:r>
        <w:t>Il passaggio importante, sul piano concettuale, è che theHarvester non viene eseguito solo per archiviarne l'output: viene usato per alimentare un artefatto intermedio reale, osint_hosts.txt, che entra nella pipeline.</w:t>
      </w:r>
    </w:p>
    <w:p>
      <w:pPr>
        <w:pStyle w:val="Heading2"/>
      </w:pPr>
      <w:r>
        <w:t>4.7 Fase 2 - Subdomain discovery con subfinder</w:t>
      </w:r>
    </w:p>
    <w:p>
      <w:r>
        <w:t>Per ogni target, lo script lancia subfinder con l'opzione -all, accumulando il risultato grezzo in raw/subfinder.txt. Successivamente deduplica tutto in processed/subdomains.txt.</w:t>
      </w:r>
    </w:p>
    <w:p>
      <w:pPr>
        <w:spacing w:after="40" w:before="0"/>
        <w:ind w:left="288"/>
      </w:pPr>
      <w:r>
        <w:rPr>
          <w:b/>
        </w:rPr>
        <w:t xml:space="preserve">• </w:t>
      </w:r>
      <w:r>
        <w:t>Scopo tecnico: ampliare l'inventario dei sottodomini osservabili.</w:t>
      </w:r>
    </w:p>
    <w:p>
      <w:pPr>
        <w:spacing w:after="40" w:before="0"/>
        <w:ind w:left="288"/>
      </w:pPr>
      <w:r>
        <w:rPr>
          <w:b/>
        </w:rPr>
        <w:t xml:space="preserve">• </w:t>
      </w:r>
      <w:r>
        <w:t>Output chiave: processed/subdomains.txt.</w:t>
      </w:r>
    </w:p>
    <w:p>
      <w:r>
        <w:t>A questo punto lo script costruisce processed/all_hosts.txt unendo osint_hosts.txt e subdomains.txt. Questo file è il primo vero snodo della pipeline: rappresenta l'insieme degli host raccolti prima dell'enumerazione DNS aggressiva.</w:t>
      </w:r>
    </w:p>
    <w:p>
      <w:pPr>
        <w:pStyle w:val="Heading2"/>
      </w:pPr>
      <w:r>
        <w:t>4.8 Fase 3 - Enumerazione aggressiva con amass</w:t>
      </w:r>
    </w:p>
    <w:p>
      <w:r>
        <w:t>Lo script usa amass in modalità attiva, con wordlist DNS dedicata e timeout. L'obiettivo è ampliare ulteriormente la superficie trovata prima, andando oltre l'OSINT passivo.</w:t>
      </w:r>
    </w:p>
    <w:p>
      <w:pPr>
        <w:spacing w:after="40" w:before="0"/>
        <w:ind w:left="288"/>
      </w:pPr>
      <w:r>
        <w:rPr>
          <w:b/>
        </w:rPr>
        <w:t xml:space="preserve">• </w:t>
      </w:r>
      <w:r>
        <w:t>Output grezzo: raw/amass.txt.</w:t>
      </w:r>
    </w:p>
    <w:p>
      <w:pPr>
        <w:spacing w:after="40" w:before="0"/>
        <w:ind w:left="288"/>
      </w:pPr>
      <w:r>
        <w:rPr>
          <w:b/>
        </w:rPr>
        <w:t xml:space="preserve">• </w:t>
      </w:r>
      <w:r>
        <w:t>Risultato operativo: il contenuto di amass viene unito ad all_hosts.txt, che viene aggiornato.</w:t>
      </w:r>
    </w:p>
    <w:p>
      <w:r>
        <w:t>Questo passaggio aumenta il valore della pipeline perché non si limita a registrare ciò che è facilmente osservabile: prova anche a espandere in modo controllato l'inventario DNS.</w:t>
      </w:r>
    </w:p>
    <w:p>
      <w:pPr>
        <w:pStyle w:val="Heading2"/>
      </w:pPr>
      <w:r>
        <w:t>4.9 Fase 4 - Risoluzione DNS con dnsx</w:t>
      </w:r>
    </w:p>
    <w:p>
      <w:r>
        <w:t>dnsx gira su processed/all_hosts.txt. Il suo compito è verificare quali host risolvono effettivamente e raccogliere una prima evidenza di host live. L'output completo va in raw/dnsx.txt; da questo file lo script estrae il primo campo e costruisce processed/live_hosts.txt.</w:t>
      </w:r>
    </w:p>
    <w:p>
      <w:pPr>
        <w:spacing w:after="40" w:before="0"/>
        <w:ind w:left="288"/>
      </w:pPr>
      <w:r>
        <w:rPr>
          <w:b/>
        </w:rPr>
        <w:t xml:space="preserve">• </w:t>
      </w:r>
      <w:r>
        <w:t>raw/dnsx.txt: dettaglio della risposta di dnsx.</w:t>
      </w:r>
    </w:p>
    <w:p>
      <w:pPr>
        <w:spacing w:after="40" w:before="0"/>
        <w:ind w:left="288"/>
      </w:pPr>
      <w:r>
        <w:rPr>
          <w:b/>
        </w:rPr>
        <w:t xml:space="preserve">• </w:t>
      </w:r>
      <w:r>
        <w:t>processed/live_hosts.txt: lista pulita degli host da usare nelle fasi successive.</w:t>
      </w:r>
    </w:p>
    <w:p>
      <w:r>
        <w:t>Questa è un'altra transizione concettuale importante: da un elenco di host ipotizzati o raccolti per correlazione si passa a un elenco di host che hanno mostrato un comportamento DNS coerente e quindi meritano ulteriore ricognizione.</w:t>
      </w:r>
    </w:p>
    <w:p>
      <w:pPr>
        <w:pStyle w:val="Heading2"/>
      </w:pPr>
      <w:r>
        <w:t>4.10 Fase 5 - Superficie web con httpx</w:t>
      </w:r>
    </w:p>
    <w:p>
      <w:r>
        <w:t>httpx gira su processed/live_hosts.txt e usa un set di opzioni orientato alla lettura del contesto applicativo: porte 80/443/8080/8443, title, status code, tech detection, IP, CDN, server.</w:t>
      </w:r>
    </w:p>
    <w:p>
      <w:pPr>
        <w:spacing w:after="40" w:before="0"/>
        <w:ind w:left="288"/>
      </w:pPr>
      <w:r>
        <w:rPr>
          <w:b/>
        </w:rPr>
        <w:t xml:space="preserve">• </w:t>
      </w:r>
      <w:r>
        <w:t>Output: raw/httpx.txt.</w:t>
      </w:r>
    </w:p>
    <w:p>
      <w:pPr>
        <w:spacing w:after="40" w:before="0"/>
        <w:ind w:left="288"/>
      </w:pPr>
      <w:r>
        <w:rPr>
          <w:b/>
        </w:rPr>
        <w:t xml:space="preserve">• </w:t>
      </w:r>
      <w:r>
        <w:t>Finalità: identificare quali asset live espongono una superficie web e raccogliere indicatori utili alla lettura del rischio.</w:t>
      </w:r>
    </w:p>
    <w:p>
      <w:r>
        <w:t>Questo file non serve solo a contare endpoint. Serve soprattutto a riconoscere pattern: login, redirect, pannelli, ambienti non produttivi, titoli significativi, stack tecnologici e superfici di autenticazione.</w:t>
      </w:r>
    </w:p>
    <w:p>
      <w:pPr>
        <w:pStyle w:val="Heading2"/>
      </w:pPr>
      <w:r>
        <w:t>4.11 Fase 6 - Enumerazione servizi con nmap</w:t>
      </w:r>
    </w:p>
    <w:p>
      <w:r>
        <w:t>nmap gira su processed/live_hosts.txt con SYN scan, service detection, timing prudente e top 100 porte. L'output testuale viene scritto in raw/nmap.txt.</w:t>
      </w:r>
    </w:p>
    <w:p>
      <w:pPr>
        <w:spacing w:after="40" w:before="0"/>
        <w:ind w:left="288"/>
      </w:pPr>
      <w:r>
        <w:rPr>
          <w:b/>
        </w:rPr>
        <w:t xml:space="preserve">• </w:t>
      </w:r>
      <w:r>
        <w:t>Scopo tecnico: passare dalla mera esistenza di un host alla lettura dei servizi esposti.</w:t>
      </w:r>
    </w:p>
    <w:p>
      <w:pPr>
        <w:spacing w:after="40" w:before="0"/>
        <w:ind w:left="288"/>
      </w:pPr>
      <w:r>
        <w:rPr>
          <w:b/>
        </w:rPr>
        <w:t xml:space="preserve">• </w:t>
      </w:r>
      <w:r>
        <w:t>Output chiave per il report: porte e servizi che possono costituire accesso remoto, servizi infrastrutturali o superficie applicativa.</w:t>
      </w:r>
    </w:p>
    <w:p>
      <w:r>
        <w:t>Questa fase è essenziale perché rende misurabile la superficie esposta: senza di essa avresti host live, ma non il profilo dei servizi.</w:t>
      </w:r>
    </w:p>
    <w:p>
      <w:pPr>
        <w:pStyle w:val="Heading2"/>
      </w:pPr>
      <w:r>
        <w:t>4.12 Fase 7 - Preparazione delle evidenze sintetiche</w:t>
      </w:r>
    </w:p>
    <w:p>
      <w:r>
        <w:t>Lo script crea alcuni file in evidence per non costringere l'analista a leggere da zero file grezzi molto lunghi.</w:t>
      </w:r>
    </w:p>
    <w:p>
      <w:pPr>
        <w:spacing w:after="40" w:before="0"/>
        <w:ind w:left="288"/>
      </w:pPr>
      <w:r>
        <w:rPr>
          <w:b/>
        </w:rPr>
        <w:t xml:space="preserve">• </w:t>
      </w:r>
      <w:r>
        <w:t>evidence/web_findings.txt: righe di httpx che corrispondono a pattern interessanti, come login, admin, vpn, 401, 403, redirect, staging, test, dev, backup.</w:t>
      </w:r>
    </w:p>
    <w:p>
      <w:pPr>
        <w:spacing w:after="40" w:before="0"/>
        <w:ind w:left="288"/>
      </w:pPr>
      <w:r>
        <w:rPr>
          <w:b/>
        </w:rPr>
        <w:t xml:space="preserve">• </w:t>
      </w:r>
      <w:r>
        <w:t>evidence/exposed_services.txt: righe di nmap che mostrano porte ad alta rilevanza come 21, 22, 25, 143, 3389, 445, 5900.</w:t>
      </w:r>
    </w:p>
    <w:p>
      <w:pPr>
        <w:spacing w:after="40" w:before="0"/>
        <w:ind w:left="288"/>
      </w:pPr>
      <w:r>
        <w:rPr>
          <w:b/>
        </w:rPr>
        <w:t xml:space="preserve">• </w:t>
      </w:r>
      <w:r>
        <w:t>evidence/summary.txt: conteggio base di domini/sottodomini, host attivi ed endpoint web.</w:t>
      </w:r>
    </w:p>
    <w:p>
      <w:r>
        <w:t>Questa fase non è ancora reporting. È una compressione guidata del dato grezzo, pensata per rendere più veloce la lettura tecnica successiva.</w:t>
      </w:r>
    </w:p>
    <w:p>
      <w:pPr>
        <w:pStyle w:val="Heading2"/>
      </w:pPr>
      <w:r>
        <w:t>4.13 Output finali di run_external_snapshot.sh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t>File</w:t>
            </w:r>
          </w:p>
        </w:tc>
        <w:tc>
          <w:tcPr>
            <w:tcW w:type="dxa" w:w="3312"/>
            <w:shd w:fill="E2F0D9"/>
          </w:tcPr>
          <w:p>
            <w:r>
              <w:t>Tipo</w:t>
            </w:r>
          </w:p>
        </w:tc>
        <w:tc>
          <w:tcPr>
            <w:tcW w:type="dxa" w:w="3312"/>
            <w:shd w:fill="E2F0D9"/>
          </w:tcPr>
          <w:p>
            <w:r>
              <w:t>Significato</w:t>
            </w:r>
          </w:p>
        </w:tc>
      </w:tr>
      <w:tr>
        <w:tc>
          <w:tcPr>
            <w:tcW w:type="dxa" w:w="3312"/>
          </w:tcPr>
          <w:p>
            <w:r>
              <w:t>scope/targets.txt</w:t>
            </w:r>
          </w:p>
        </w:tc>
        <w:tc>
          <w:tcPr>
            <w:tcW w:type="dxa" w:w="3312"/>
          </w:tcPr>
          <w:p>
            <w:r>
              <w:t>Input operativo</w:t>
            </w:r>
          </w:p>
        </w:tc>
        <w:tc>
          <w:tcPr>
            <w:tcW w:type="dxa" w:w="3312"/>
          </w:tcPr>
          <w:p>
            <w:r>
              <w:t>Perimetro effettivamente lavorato</w:t>
            </w:r>
          </w:p>
        </w:tc>
      </w:tr>
      <w:tr>
        <w:tc>
          <w:tcPr>
            <w:tcW w:type="dxa" w:w="3312"/>
          </w:tcPr>
          <w:p>
            <w:r>
              <w:t>raw/theharvester.txt</w:t>
            </w:r>
          </w:p>
        </w:tc>
        <w:tc>
          <w:tcPr>
            <w:tcW w:type="dxa" w:w="3312"/>
          </w:tcPr>
          <w:p>
            <w:r>
              <w:t>Grezzo</w:t>
            </w:r>
          </w:p>
        </w:tc>
        <w:tc>
          <w:tcPr>
            <w:tcW w:type="dxa" w:w="3312"/>
          </w:tcPr>
          <w:p>
            <w:r>
              <w:t>OSINT da theHarvester</w:t>
            </w:r>
          </w:p>
        </w:tc>
      </w:tr>
      <w:tr>
        <w:tc>
          <w:tcPr>
            <w:tcW w:type="dxa" w:w="3312"/>
          </w:tcPr>
          <w:p>
            <w:r>
              <w:t>raw/subfinder.txt</w:t>
            </w:r>
          </w:p>
        </w:tc>
        <w:tc>
          <w:tcPr>
            <w:tcW w:type="dxa" w:w="3312"/>
          </w:tcPr>
          <w:p>
            <w:r>
              <w:t>Grezzo</w:t>
            </w:r>
          </w:p>
        </w:tc>
        <w:tc>
          <w:tcPr>
            <w:tcW w:type="dxa" w:w="3312"/>
          </w:tcPr>
          <w:p>
            <w:r>
              <w:t>Subdomain discovery</w:t>
            </w:r>
          </w:p>
        </w:tc>
      </w:tr>
      <w:tr>
        <w:tc>
          <w:tcPr>
            <w:tcW w:type="dxa" w:w="3312"/>
          </w:tcPr>
          <w:p>
            <w:r>
              <w:t>raw/amass.txt</w:t>
            </w:r>
          </w:p>
        </w:tc>
        <w:tc>
          <w:tcPr>
            <w:tcW w:type="dxa" w:w="3312"/>
          </w:tcPr>
          <w:p>
            <w:r>
              <w:t>Grezzo</w:t>
            </w:r>
          </w:p>
        </w:tc>
        <w:tc>
          <w:tcPr>
            <w:tcW w:type="dxa" w:w="3312"/>
          </w:tcPr>
          <w:p>
            <w:r>
              <w:t>Enumerazione DNS aggressiva</w:t>
            </w:r>
          </w:p>
        </w:tc>
      </w:tr>
      <w:tr>
        <w:tc>
          <w:tcPr>
            <w:tcW w:type="dxa" w:w="3312"/>
          </w:tcPr>
          <w:p>
            <w:r>
              <w:t>raw/dnsx.txt</w:t>
            </w:r>
          </w:p>
        </w:tc>
        <w:tc>
          <w:tcPr>
            <w:tcW w:type="dxa" w:w="3312"/>
          </w:tcPr>
          <w:p>
            <w:r>
              <w:t>Grezzo</w:t>
            </w:r>
          </w:p>
        </w:tc>
        <w:tc>
          <w:tcPr>
            <w:tcW w:type="dxa" w:w="3312"/>
          </w:tcPr>
          <w:p>
            <w:r>
              <w:t>Risoluzione/verifica DNS</w:t>
            </w:r>
          </w:p>
        </w:tc>
      </w:tr>
      <w:tr>
        <w:tc>
          <w:tcPr>
            <w:tcW w:type="dxa" w:w="3312"/>
          </w:tcPr>
          <w:p>
            <w:r>
              <w:t>raw/httpx.txt</w:t>
            </w:r>
          </w:p>
        </w:tc>
        <w:tc>
          <w:tcPr>
            <w:tcW w:type="dxa" w:w="3312"/>
          </w:tcPr>
          <w:p>
            <w:r>
              <w:t>Grezzo</w:t>
            </w:r>
          </w:p>
        </w:tc>
        <w:tc>
          <w:tcPr>
            <w:tcW w:type="dxa" w:w="3312"/>
          </w:tcPr>
          <w:p>
            <w:r>
              <w:t>Superficie web e metadati</w:t>
            </w:r>
          </w:p>
        </w:tc>
      </w:tr>
      <w:tr>
        <w:tc>
          <w:tcPr>
            <w:tcW w:type="dxa" w:w="3312"/>
          </w:tcPr>
          <w:p>
            <w:r>
              <w:t>raw/nmap.txt</w:t>
            </w:r>
          </w:p>
        </w:tc>
        <w:tc>
          <w:tcPr>
            <w:tcW w:type="dxa" w:w="3312"/>
          </w:tcPr>
          <w:p>
            <w:r>
              <w:t>Grezzo</w:t>
            </w:r>
          </w:p>
        </w:tc>
        <w:tc>
          <w:tcPr>
            <w:tcW w:type="dxa" w:w="3312"/>
          </w:tcPr>
          <w:p>
            <w:r>
              <w:t>Servizi esposti</w:t>
            </w:r>
          </w:p>
        </w:tc>
      </w:tr>
      <w:tr>
        <w:tc>
          <w:tcPr>
            <w:tcW w:type="dxa" w:w="3312"/>
          </w:tcPr>
          <w:p>
            <w:r>
              <w:t>processed/osint_hosts.txt</w:t>
            </w:r>
          </w:p>
        </w:tc>
        <w:tc>
          <w:tcPr>
            <w:tcW w:type="dxa" w:w="3312"/>
          </w:tcPr>
          <w:p>
            <w:r>
              <w:t>Processato</w:t>
            </w:r>
          </w:p>
        </w:tc>
        <w:tc>
          <w:tcPr>
            <w:tcW w:type="dxa" w:w="3312"/>
          </w:tcPr>
          <w:p>
            <w:r>
              <w:t>Host derivati dall'OSINT</w:t>
            </w:r>
          </w:p>
        </w:tc>
      </w:tr>
      <w:tr>
        <w:tc>
          <w:tcPr>
            <w:tcW w:type="dxa" w:w="3312"/>
          </w:tcPr>
          <w:p>
            <w:r>
              <w:t>processed/subdomains.txt</w:t>
            </w:r>
          </w:p>
        </w:tc>
        <w:tc>
          <w:tcPr>
            <w:tcW w:type="dxa" w:w="3312"/>
          </w:tcPr>
          <w:p>
            <w:r>
              <w:t>Processato</w:t>
            </w:r>
          </w:p>
        </w:tc>
        <w:tc>
          <w:tcPr>
            <w:tcW w:type="dxa" w:w="3312"/>
          </w:tcPr>
          <w:p>
            <w:r>
              <w:t>Sottodomini deduplicati</w:t>
            </w:r>
          </w:p>
        </w:tc>
      </w:tr>
      <w:tr>
        <w:tc>
          <w:tcPr>
            <w:tcW w:type="dxa" w:w="3312"/>
          </w:tcPr>
          <w:p>
            <w:r>
              <w:t>processed/all_hosts.txt</w:t>
            </w:r>
          </w:p>
        </w:tc>
        <w:tc>
          <w:tcPr>
            <w:tcW w:type="dxa" w:w="3312"/>
          </w:tcPr>
          <w:p>
            <w:r>
              <w:t>Processato</w:t>
            </w:r>
          </w:p>
        </w:tc>
        <w:tc>
          <w:tcPr>
            <w:tcW w:type="dxa" w:w="3312"/>
          </w:tcPr>
          <w:p>
            <w:r>
              <w:t>Unione complessiva degli host</w:t>
            </w:r>
          </w:p>
        </w:tc>
      </w:tr>
      <w:tr>
        <w:tc>
          <w:tcPr>
            <w:tcW w:type="dxa" w:w="3312"/>
          </w:tcPr>
          <w:p>
            <w:r>
              <w:t>processed/live_hosts.txt</w:t>
            </w:r>
          </w:p>
        </w:tc>
        <w:tc>
          <w:tcPr>
            <w:tcW w:type="dxa" w:w="3312"/>
          </w:tcPr>
          <w:p>
            <w:r>
              <w:t>Processato</w:t>
            </w:r>
          </w:p>
        </w:tc>
        <w:tc>
          <w:tcPr>
            <w:tcW w:type="dxa" w:w="3312"/>
          </w:tcPr>
          <w:p>
            <w:r>
              <w:t>Host live da considerare per lettura e report</w:t>
            </w:r>
          </w:p>
        </w:tc>
      </w:tr>
      <w:tr>
        <w:tc>
          <w:tcPr>
            <w:tcW w:type="dxa" w:w="3312"/>
          </w:tcPr>
          <w:p>
            <w:r>
              <w:t>evidence/*</w:t>
            </w:r>
          </w:p>
        </w:tc>
        <w:tc>
          <w:tcPr>
            <w:tcW w:type="dxa" w:w="3312"/>
          </w:tcPr>
          <w:p>
            <w:r>
              <w:t>Sintetico</w:t>
            </w:r>
          </w:p>
        </w:tc>
        <w:tc>
          <w:tcPr>
            <w:tcW w:type="dxa" w:w="3312"/>
          </w:tcPr>
          <w:p>
            <w:r>
              <w:t>Evidenze rilevanti già filtrate</w:t>
            </w:r>
          </w:p>
        </w:tc>
      </w:tr>
    </w:tbl>
    <w:p>
      <w:pPr>
        <w:pStyle w:val="Heading1"/>
      </w:pPr>
      <w:r>
        <w:t>5. generate_external_report_blocks.sh - spiegazione completa</w:t>
      </w:r>
    </w:p>
    <w:p>
      <w:pPr>
        <w:pStyle w:val="Heading2"/>
      </w:pPr>
      <w:r>
        <w:t>5.1 Obiettivo operativo</w:t>
      </w:r>
    </w:p>
    <w:p>
      <w:r>
        <w:t>Questo script non esegue scansioni. Lavora esclusivamente sui risultati prodotti dallo script precedente. Il suo compito è trasformare l'output tecnico in blocchi di testo ordinati, leggibili e pronti per essere riutilizzati nella stesura del report finale.</w:t>
      </w:r>
    </w:p>
    <w:p>
      <w:pPr>
        <w:spacing w:after="40" w:before="0"/>
        <w:ind w:left="288"/>
      </w:pPr>
      <w:r>
        <w:rPr>
          <w:b/>
        </w:rPr>
        <w:t xml:space="preserve">• </w:t>
      </w:r>
      <w:r>
        <w:t>Non sostituisce il report finale.</w:t>
      </w:r>
    </w:p>
    <w:p>
      <w:pPr>
        <w:spacing w:after="40" w:before="0"/>
        <w:ind w:left="288"/>
      </w:pPr>
      <w:r>
        <w:rPr>
          <w:b/>
        </w:rPr>
        <w:t xml:space="preserve">• </w:t>
      </w:r>
      <w:r>
        <w:t>Non prende decisioni irrevocabili.</w:t>
      </w:r>
    </w:p>
    <w:p>
      <w:pPr>
        <w:spacing w:after="40" w:before="0"/>
        <w:ind w:left="288"/>
      </w:pPr>
      <w:r>
        <w:rPr>
          <w:b/>
        </w:rPr>
        <w:t xml:space="preserve">• </w:t>
      </w:r>
      <w:r>
        <w:t>Propone una lettura preliminare, utile a risparmiare tempo e a non dimenticare pattern rilevanti.</w:t>
      </w:r>
    </w:p>
    <w:p>
      <w:pPr>
        <w:pStyle w:val="Heading2"/>
      </w:pPr>
      <w:r>
        <w:t>5.2 File letti</w:t>
      </w:r>
    </w:p>
    <w:p>
      <w:pPr>
        <w:spacing w:after="40" w:before="0"/>
        <w:ind w:left="288"/>
      </w:pPr>
      <w:r>
        <w:rPr>
          <w:b/>
        </w:rPr>
        <w:t xml:space="preserve">• </w:t>
      </w:r>
      <w:r>
        <w:t>scope/engagement.yaml, per recuperare engagement ID, cliente e data.</w:t>
      </w:r>
    </w:p>
    <w:p>
      <w:pPr>
        <w:spacing w:after="40" w:before="0"/>
        <w:ind w:left="288"/>
      </w:pPr>
      <w:r>
        <w:rPr>
          <w:b/>
        </w:rPr>
        <w:t xml:space="preserve">• </w:t>
      </w:r>
      <w:r>
        <w:t>scope/targets.txt, per riportare i target autorizzati.</w:t>
      </w:r>
    </w:p>
    <w:p>
      <w:pPr>
        <w:spacing w:after="40" w:before="0"/>
        <w:ind w:left="288"/>
      </w:pPr>
      <w:r>
        <w:rPr>
          <w:b/>
        </w:rPr>
        <w:t xml:space="preserve">• </w:t>
      </w:r>
      <w:r>
        <w:t>processed/all_hosts.txt e processed/live_hosts.txt, per i conteggi di superficie.</w:t>
      </w:r>
    </w:p>
    <w:p>
      <w:pPr>
        <w:spacing w:after="40" w:before="0"/>
        <w:ind w:left="288"/>
      </w:pPr>
      <w:r>
        <w:rPr>
          <w:b/>
        </w:rPr>
        <w:t xml:space="preserve">• </w:t>
      </w:r>
      <w:r>
        <w:t>raw/httpx.txt e raw/nmap.txt, per contare pattern web e servizi esposti.</w:t>
      </w:r>
    </w:p>
    <w:p>
      <w:r>
        <w:t>In altri termini, questo script prende sia file già processati sia file grezzi. I primi servono per i conteggi strutturali; i secondi servono per estrarre segnali rilevanti.</w:t>
      </w:r>
    </w:p>
    <w:p>
      <w:pPr>
        <w:pStyle w:val="Heading2"/>
      </w:pPr>
      <w:r>
        <w:t>5.3 Controlli iniziali</w:t>
      </w:r>
    </w:p>
    <w:p>
      <w:pPr>
        <w:spacing w:after="40" w:before="0"/>
        <w:ind w:left="288"/>
      </w:pPr>
      <w:r>
        <w:rPr>
          <w:b/>
        </w:rPr>
        <w:t xml:space="preserve">• </w:t>
      </w:r>
      <w:r>
        <w:t>Verifica che l'engagement esista e sia di tipo external.</w:t>
      </w:r>
    </w:p>
    <w:p>
      <w:pPr>
        <w:spacing w:after="40" w:before="0"/>
        <w:ind w:left="288"/>
      </w:pPr>
      <w:r>
        <w:rPr>
          <w:b/>
        </w:rPr>
        <w:t xml:space="preserve">• </w:t>
      </w:r>
      <w:r>
        <w:t>Verifica la presenza delle cartelle richieste.</w:t>
      </w:r>
    </w:p>
    <w:p>
      <w:pPr>
        <w:spacing w:after="40" w:before="0"/>
        <w:ind w:left="288"/>
      </w:pPr>
      <w:r>
        <w:rPr>
          <w:b/>
        </w:rPr>
        <w:t xml:space="preserve">• </w:t>
      </w:r>
      <w:r>
        <w:t>Verifica l'esistenza del file engagement.yaml.</w:t>
      </w:r>
    </w:p>
    <w:p>
      <w:pPr>
        <w:spacing w:after="40" w:before="0"/>
        <w:ind w:left="288"/>
      </w:pPr>
      <w:r>
        <w:rPr>
          <w:b/>
        </w:rPr>
        <w:t xml:space="preserve">• </w:t>
      </w:r>
      <w:r>
        <w:t>Crea report/ se necessario.</w:t>
      </w:r>
    </w:p>
    <w:p>
      <w:r>
        <w:t>Qui il punto concettuale è importante: lo script presume che run_external_snapshot.sh sia già stato eseguito. Se gli input non ci sono, non ha materiale su cui ragionare.</w:t>
      </w:r>
    </w:p>
    <w:p>
      <w:pPr>
        <w:pStyle w:val="Heading2"/>
      </w:pPr>
      <w:r>
        <w:t>5.4 Conteggi di base</w:t>
      </w:r>
    </w:p>
    <w:p>
      <w:r>
        <w:t>Lo script estrae prima i numeri oggettivi: target autorizzati, host aggregati, host live, endpoint web, oltre ai conteggi dei servizi e dei pattern HTTP.</w:t>
      </w:r>
    </w:p>
    <w:p>
      <w:pPr>
        <w:spacing w:after="40" w:before="0"/>
        <w:ind w:left="288"/>
      </w:pPr>
      <w:r>
        <w:rPr>
          <w:b/>
        </w:rPr>
        <w:t xml:space="preserve">• </w:t>
      </w:r>
      <w:r>
        <w:t>Servizi cercati in nmap: HTTP 80, HTTPS 443, SSH 22, FTP 21, Telnet 23, SMTP 25, IMAP 143, SMB 445, RDP 3389, VNC 5900.</w:t>
      </w:r>
    </w:p>
    <w:p>
      <w:pPr>
        <w:spacing w:after="40" w:before="0"/>
        <w:ind w:left="288"/>
      </w:pPr>
      <w:r>
        <w:rPr>
          <w:b/>
        </w:rPr>
        <w:t xml:space="preserve">• </w:t>
      </w:r>
      <w:r>
        <w:t>Pattern cercati in httpx: login, admin, dashboard, vpn, signin, auth, sso, 401, 403, redirect 30x, staging, test, dev, backup, old, preprod, internal.</w:t>
      </w:r>
    </w:p>
    <w:p>
      <w:r>
        <w:t>Questi conteggi sono la base della lettura automatica. Da soli non bastano a scrivere il report, ma permettono allo script di comporre finding preliminari e una prima proposta di rischio.</w:t>
      </w:r>
    </w:p>
    <w:p>
      <w:pPr>
        <w:pStyle w:val="Heading2"/>
      </w:pPr>
      <w:r>
        <w:t>5.5 Generazione di finding preliminari</w:t>
      </w:r>
    </w:p>
    <w:p>
      <w:r>
        <w:t>Lo script costruisce processed/external_findings.txt e processed/risk_matrix.csv. Ogni regola produce una frase leggibile e una riga strutturata.</w:t>
      </w:r>
    </w:p>
    <w:p>
      <w:pPr>
        <w:spacing w:after="40" w:before="0"/>
        <w:ind w:left="288"/>
      </w:pPr>
      <w:r>
        <w:rPr>
          <w:b/>
        </w:rPr>
        <w:t xml:space="preserve">• </w:t>
      </w:r>
      <w:r>
        <w:t>Esempio: FTP pubblico -&gt; finding HIGH e raccomandazione specifica.</w:t>
      </w:r>
    </w:p>
    <w:p>
      <w:pPr>
        <w:spacing w:after="40" w:before="0"/>
        <w:ind w:left="288"/>
      </w:pPr>
      <w:r>
        <w:rPr>
          <w:b/>
        </w:rPr>
        <w:t xml:space="preserve">• </w:t>
      </w:r>
      <w:r>
        <w:t>Esempio: Telnet pubblico -&gt; finding HIGH e raccomandazione urgente.</w:t>
      </w:r>
    </w:p>
    <w:p>
      <w:pPr>
        <w:spacing w:after="40" w:before="0"/>
        <w:ind w:left="288"/>
      </w:pPr>
      <w:r>
        <w:rPr>
          <w:b/>
        </w:rPr>
        <w:t xml:space="preserve">• </w:t>
      </w:r>
      <w:r>
        <w:t>Esempio: login panel pubblici -&gt; finding MEDIUM.</w:t>
      </w:r>
    </w:p>
    <w:p>
      <w:pPr>
        <w:spacing w:after="40" w:before="0"/>
        <w:ind w:left="288"/>
      </w:pPr>
      <w:r>
        <w:rPr>
          <w:b/>
        </w:rPr>
        <w:t xml:space="preserve">• </w:t>
      </w:r>
      <w:r>
        <w:t>Esempio: endpoint 401/403 -&gt; finding LOW.</w:t>
      </w:r>
    </w:p>
    <w:p>
      <w:r>
        <w:t>Questa logica non cerca di essere un sistema di scoring scientifico universale. È un motore di regole pensato per il modello Snapshot: ordinare ciò che emerge, segnare ciò che è normalmente più rilevante e rendere immediata una prima lettura.</w:t>
      </w:r>
    </w:p>
    <w:p>
      <w:pPr>
        <w:pStyle w:val="Heading2"/>
      </w:pPr>
      <w:r>
        <w:t>5.6 Proposta di rischio complessivo</w:t>
      </w:r>
    </w:p>
    <w:p>
      <w:r>
        <w:t>Dopo aver contato finding HIGH, MEDIUM, LOW e INFO, lo script propone un rischio complessivo.</w:t>
      </w:r>
    </w:p>
    <w:p>
      <w:pPr>
        <w:spacing w:after="40" w:before="0"/>
        <w:ind w:left="288"/>
      </w:pPr>
      <w:r>
        <w:rPr>
          <w:b/>
        </w:rPr>
        <w:t xml:space="preserve">• </w:t>
      </w:r>
      <w:r>
        <w:t>HIGH: se ci sono almeno due high, oppure un high insieme a più medium.</w:t>
      </w:r>
    </w:p>
    <w:p>
      <w:pPr>
        <w:spacing w:after="40" w:before="0"/>
        <w:ind w:left="288"/>
      </w:pPr>
      <w:r>
        <w:rPr>
          <w:b/>
        </w:rPr>
        <w:t xml:space="preserve">• </w:t>
      </w:r>
      <w:r>
        <w:t>MEDIUM: se c'è un high isolato oppure almeno due medium.</w:t>
      </w:r>
    </w:p>
    <w:p>
      <w:pPr>
        <w:spacing w:after="40" w:before="0"/>
        <w:ind w:left="288"/>
      </w:pPr>
      <w:r>
        <w:rPr>
          <w:b/>
        </w:rPr>
        <w:t xml:space="preserve">• </w:t>
      </w:r>
      <w:r>
        <w:t>LOW: se non emergono combinazioni tali da giustificare medium o high.</w:t>
      </w:r>
    </w:p>
    <w:p>
      <w:r>
        <w:t>Insieme al livello, lo script prepara anche una motivazione sintetica. Questa motivazione è volutamente breve e generale: serve come base di appoggio per la successiva riformulazione umana.</w:t>
      </w:r>
    </w:p>
    <w:p>
      <w:pPr>
        <w:pStyle w:val="Heading2"/>
      </w:pPr>
      <w:r>
        <w:t>5.7 Raccomandazioni automatiche</w:t>
      </w:r>
    </w:p>
    <w:p>
      <w:r>
        <w:t>Le raccomandazioni non sono sempre le stesse. Lo script costruisce una lista dinamica in base ai pattern rilevati.</w:t>
      </w:r>
    </w:p>
    <w:p>
      <w:pPr>
        <w:spacing w:after="40" w:before="0"/>
        <w:ind w:left="288"/>
      </w:pPr>
      <w:r>
        <w:rPr>
          <w:b/>
        </w:rPr>
        <w:t xml:space="preserve">• </w:t>
      </w:r>
      <w:r>
        <w:t>Se trova RDP o SSH esposti, suggerisce di verificare necessità e restrizioni.</w:t>
      </w:r>
    </w:p>
    <w:p>
      <w:pPr>
        <w:spacing w:after="40" w:before="0"/>
        <w:ind w:left="288"/>
      </w:pPr>
      <w:r>
        <w:rPr>
          <w:b/>
        </w:rPr>
        <w:t xml:space="preserve">• </w:t>
      </w:r>
      <w:r>
        <w:t>Se trova FTP, SMB, Telnet o VNC, suggerisce rimozione, sostituzione o forte limitazione.</w:t>
      </w:r>
    </w:p>
    <w:p>
      <w:pPr>
        <w:spacing w:after="40" w:before="0"/>
        <w:ind w:left="288"/>
      </w:pPr>
      <w:r>
        <w:rPr>
          <w:b/>
        </w:rPr>
        <w:t xml:space="preserve">• </w:t>
      </w:r>
      <w:r>
        <w:t>Se trova login panel o ambienti non produttivi, suggerisce riesame dell'esposizione.</w:t>
      </w:r>
    </w:p>
    <w:p>
      <w:pPr>
        <w:spacing w:after="40" w:before="0"/>
        <w:ind w:left="288"/>
      </w:pPr>
      <w:r>
        <w:rPr>
          <w:b/>
        </w:rPr>
        <w:t xml:space="preserve">• </w:t>
      </w:r>
      <w:r>
        <w:t>Se non trova nulla di specifico, inserisce raccomandazioni baseline di revisione periodica.</w:t>
      </w:r>
    </w:p>
    <w:p>
      <w:r>
        <w:t>Questo approccio è utile perché evita due estremi: un report completamente vuoto di orientamento, oppure un report pieno di raccomandazioni standard sempre uguali.</w:t>
      </w:r>
    </w:p>
    <w:p>
      <w:pPr>
        <w:pStyle w:val="Heading2"/>
      </w:pPr>
      <w:r>
        <w:t>5.8 File markdown generati in report/</w:t>
      </w:r>
    </w:p>
    <w:tbl>
      <w:tblPr>
        <w:tblStyle w:val="TableGrid"/>
        <w:tblW w:type="auto" w:w="0"/>
        <w:jc w:val="center"/>
        <w:tblLook w:firstColumn="1" w:firstRow="1" w:lastColumn="0" w:lastRow="0" w:noHBand="0" w:noVBand="1" w:val="04A0"/>
      </w:tblPr>
      <w:tblGrid>
        <w:gridCol w:w="4968"/>
        <w:gridCol w:w="4968"/>
      </w:tblGrid>
      <w:tr>
        <w:tc>
          <w:tcPr>
            <w:tcW w:type="dxa" w:w="4968"/>
            <w:shd w:fill="FFF2CC"/>
          </w:tcPr>
          <w:p>
            <w:r>
              <w:t>File</w:t>
            </w:r>
          </w:p>
        </w:tc>
        <w:tc>
          <w:tcPr>
            <w:tcW w:type="dxa" w:w="4968"/>
            <w:shd w:fill="FFF2CC"/>
          </w:tcPr>
          <w:p>
            <w:r>
              <w:t>Contenuto</w:t>
            </w:r>
          </w:p>
        </w:tc>
      </w:tr>
      <w:tr>
        <w:tc>
          <w:tcPr>
            <w:tcW w:type="dxa" w:w="4968"/>
          </w:tcPr>
          <w:p>
            <w:r>
              <w:t>01_summary_metrics.md</w:t>
            </w:r>
          </w:p>
        </w:tc>
        <w:tc>
          <w:tcPr>
            <w:tcW w:type="dxa" w:w="4968"/>
          </w:tcPr>
          <w:p>
            <w:r>
              <w:t>Metriche oggettive e conteggi principali</w:t>
            </w:r>
          </w:p>
        </w:tc>
      </w:tr>
      <w:tr>
        <w:tc>
          <w:tcPr>
            <w:tcW w:type="dxa" w:w="4968"/>
          </w:tcPr>
          <w:p>
            <w:r>
              <w:t>02_scope_targets.md</w:t>
            </w:r>
          </w:p>
        </w:tc>
        <w:tc>
          <w:tcPr>
            <w:tcW w:type="dxa" w:w="4968"/>
          </w:tcPr>
          <w:p>
            <w:r>
              <w:t>Target autorizzati</w:t>
            </w:r>
          </w:p>
        </w:tc>
      </w:tr>
      <w:tr>
        <w:tc>
          <w:tcPr>
            <w:tcW w:type="dxa" w:w="4968"/>
          </w:tcPr>
          <w:p>
            <w:r>
              <w:t>03_exposed_surface.md</w:t>
            </w:r>
          </w:p>
        </w:tc>
        <w:tc>
          <w:tcPr>
            <w:tcW w:type="dxa" w:w="4968"/>
          </w:tcPr>
          <w:p>
            <w:r>
              <w:t>Sintesi della superficie esposta e campione host live</w:t>
            </w:r>
          </w:p>
        </w:tc>
      </w:tr>
      <w:tr>
        <w:tc>
          <w:tcPr>
            <w:tcW w:type="dxa" w:w="4968"/>
          </w:tcPr>
          <w:p>
            <w:r>
              <w:t>04_services_detected.md</w:t>
            </w:r>
          </w:p>
        </w:tc>
        <w:tc>
          <w:tcPr>
            <w:tcW w:type="dxa" w:w="4968"/>
          </w:tcPr>
          <w:p>
            <w:r>
              <w:t>Conteggio dei principali servizi rilevati</w:t>
            </w:r>
          </w:p>
        </w:tc>
      </w:tr>
      <w:tr>
        <w:tc>
          <w:tcPr>
            <w:tcW w:type="dxa" w:w="4968"/>
          </w:tcPr>
          <w:p>
            <w:r>
              <w:t>05_attention_points.md</w:t>
            </w:r>
          </w:p>
        </w:tc>
        <w:tc>
          <w:tcPr>
            <w:tcW w:type="dxa" w:w="4968"/>
          </w:tcPr>
          <w:p>
            <w:r>
              <w:t>Pattern rilevanti e finding preliminari</w:t>
            </w:r>
          </w:p>
        </w:tc>
      </w:tr>
      <w:tr>
        <w:tc>
          <w:tcPr>
            <w:tcW w:type="dxa" w:w="4968"/>
          </w:tcPr>
          <w:p>
            <w:r>
              <w:t>06_risk_assessment_auto.md</w:t>
            </w:r>
          </w:p>
        </w:tc>
        <w:tc>
          <w:tcPr>
            <w:tcW w:type="dxa" w:w="4968"/>
          </w:tcPr>
          <w:p>
            <w:r>
              <w:t>Livello di rischio proposto e rationale</w:t>
            </w:r>
          </w:p>
        </w:tc>
      </w:tr>
      <w:tr>
        <w:tc>
          <w:tcPr>
            <w:tcW w:type="dxa" w:w="4968"/>
          </w:tcPr>
          <w:p>
            <w:r>
              <w:t>07_recommendations_auto.md</w:t>
            </w:r>
          </w:p>
        </w:tc>
        <w:tc>
          <w:tcPr>
            <w:tcW w:type="dxa" w:w="4968"/>
          </w:tcPr>
          <w:p>
            <w:r>
              <w:t>Raccomandazioni coerenti con i pattern emersi</w:t>
            </w:r>
          </w:p>
        </w:tc>
      </w:tr>
      <w:tr>
        <w:tc>
          <w:tcPr>
            <w:tcW w:type="dxa" w:w="4968"/>
          </w:tcPr>
          <w:p>
            <w:r>
              <w:t>external_snapshot_report_draft.md</w:t>
            </w:r>
          </w:p>
        </w:tc>
        <w:tc>
          <w:tcPr>
            <w:tcW w:type="dxa" w:w="4968"/>
          </w:tcPr>
          <w:p>
            <w:r>
              <w:t>Assemblaggio di tutti i blocchi in un unico draft</w:t>
            </w:r>
          </w:p>
        </w:tc>
      </w:tr>
    </w:tbl>
    <w:p>
      <w:pPr>
        <w:pStyle w:val="Heading2"/>
      </w:pPr>
      <w:r>
        <w:t>5.9 Cosa resta in carico all'analista</w:t>
      </w:r>
    </w:p>
    <w:p>
      <w:pPr>
        <w:spacing w:after="40" w:before="0"/>
        <w:ind w:left="288"/>
      </w:pPr>
      <w:r>
        <w:rPr>
          <w:b/>
        </w:rPr>
        <w:t xml:space="preserve">• </w:t>
      </w:r>
      <w:r>
        <w:t>Leggere i blocchi e verificare che i conteggi raccontino correttamente il caso reale.</w:t>
      </w:r>
    </w:p>
    <w:p>
      <w:pPr>
        <w:spacing w:after="40" w:before="0"/>
        <w:ind w:left="288"/>
      </w:pPr>
      <w:r>
        <w:rPr>
          <w:b/>
        </w:rPr>
        <w:t xml:space="preserve">• </w:t>
      </w:r>
      <w:r>
        <w:t>Scegliere quali evidenze meritano davvero di essere messe in primo piano nel report.</w:t>
      </w:r>
    </w:p>
    <w:p>
      <w:pPr>
        <w:spacing w:after="40" w:before="0"/>
        <w:ind w:left="288"/>
      </w:pPr>
      <w:r>
        <w:rPr>
          <w:b/>
        </w:rPr>
        <w:t xml:space="preserve">• </w:t>
      </w:r>
      <w:r>
        <w:t>Confermare o correggere il livello di rischio proposto.</w:t>
      </w:r>
    </w:p>
    <w:p>
      <w:pPr>
        <w:spacing w:after="40" w:before="0"/>
        <w:ind w:left="288"/>
      </w:pPr>
      <w:r>
        <w:rPr>
          <w:b/>
        </w:rPr>
        <w:t xml:space="preserve">• </w:t>
      </w:r>
      <w:r>
        <w:t>Scrivere la parte consulenziale finale con il tono e la lettura ZBFOX.</w:t>
      </w:r>
    </w:p>
    <w:p>
      <w:r>
        <w:t>Questo punto è decisivo. L'automazione accelera il lavoro, ma non sostituisce la capacità di leggere il contesto, distinguere esposizione reale da rumore tecnico e trasformare i dati in un messaggio utile per il cliente.</w:t>
      </w:r>
    </w:p>
    <w:p>
      <w:pPr>
        <w:pStyle w:val="Heading1"/>
      </w:pPr>
      <w:r>
        <w:t>6. Relazione tra i due script</w:t>
      </w:r>
    </w:p>
    <w:p>
      <w:r>
        <w:t>I due script non sono moduli separati casuali: formano una catena logica.</w:t>
      </w:r>
    </w:p>
    <w:p>
      <w:pPr>
        <w:spacing w:after="40" w:before="0"/>
        <w:ind w:left="288"/>
      </w:pPr>
      <w:r>
        <w:rPr>
          <w:b/>
        </w:rPr>
        <w:t xml:space="preserve">• </w:t>
      </w:r>
      <w:r>
        <w:t>run_external_snapshot.sh raccoglie, ordina e comprime l'evidenza tecnica.</w:t>
      </w:r>
    </w:p>
    <w:p>
      <w:pPr>
        <w:spacing w:after="40" w:before="0"/>
        <w:ind w:left="288"/>
      </w:pPr>
      <w:r>
        <w:rPr>
          <w:b/>
        </w:rPr>
        <w:t xml:space="preserve">• </w:t>
      </w:r>
      <w:r>
        <w:t>generate_external_report_blocks.sh trasforma l'evidenza tecnica in blocchi narrativi oggettivi.</w:t>
      </w:r>
    </w:p>
    <w:p>
      <w:pPr>
        <w:spacing w:after="40" w:before="0"/>
        <w:ind w:left="288"/>
      </w:pPr>
      <w:r>
        <w:rPr>
          <w:b/>
        </w:rPr>
        <w:t xml:space="preserve">• </w:t>
      </w:r>
      <w:r>
        <w:t>L'analista usa quei blocchi per produrre il report finale.</w:t>
      </w:r>
    </w:p>
    <w:p>
      <w:r>
        <w:t>Se il primo script è incompleto o rumoroso, il secondo eredita quel problema. Se il secondo script è ben fatto ma il primo non ha raccolto materiale utile, il draft resta povero. Per questo vanno considerati come una pipeline unica.</w:t>
      </w:r>
    </w:p>
    <w:p>
      <w:pPr>
        <w:pStyle w:val="Heading1"/>
      </w:pPr>
      <w:r>
        <w:t>7. Limiti e attenzioni da ricordare</w:t>
      </w:r>
    </w:p>
    <w:p>
      <w:pPr>
        <w:spacing w:after="40" w:before="0"/>
        <w:ind w:left="288"/>
      </w:pPr>
      <w:r>
        <w:rPr>
          <w:b/>
        </w:rPr>
        <w:t xml:space="preserve">• </w:t>
      </w:r>
      <w:r>
        <w:t>L'estrazione OSINT da theHarvester è conservativa e può richiedere revisione umana.</w:t>
      </w:r>
    </w:p>
    <w:p>
      <w:pPr>
        <w:spacing w:after="40" w:before="0"/>
        <w:ind w:left="288"/>
      </w:pPr>
      <w:r>
        <w:rPr>
          <w:b/>
        </w:rPr>
        <w:t xml:space="preserve">• </w:t>
      </w:r>
      <w:r>
        <w:t>Il rischio complessivo proposto è una scorciatoia ragionata, non una decisione definitiva.</w:t>
      </w:r>
    </w:p>
    <w:p>
      <w:pPr>
        <w:spacing w:after="40" w:before="0"/>
        <w:ind w:left="288"/>
      </w:pPr>
      <w:r>
        <w:rPr>
          <w:b/>
        </w:rPr>
        <w:t xml:space="preserve">• </w:t>
      </w:r>
      <w:r>
        <w:t>I conteggi non spiegano da soli la gravità: contano il contesto, la funzione del servizio e la reale necessità dell'esposizione.</w:t>
      </w:r>
    </w:p>
    <w:p>
      <w:pPr>
        <w:spacing w:after="40" w:before="0"/>
        <w:ind w:left="288"/>
      </w:pPr>
      <w:r>
        <w:rPr>
          <w:b/>
        </w:rPr>
        <w:t xml:space="preserve">• </w:t>
      </w:r>
      <w:r>
        <w:t>I pattern su httpx e nmap funzionano bene come primo filtro, ma non sostituiscono la lettura diretta dei file grezzi.</w:t>
      </w:r>
    </w:p>
    <w:p>
      <w:pPr>
        <w:spacing w:after="40" w:before="0"/>
        <w:ind w:left="288"/>
      </w:pPr>
      <w:r>
        <w:rPr>
          <w:b/>
        </w:rPr>
        <w:t xml:space="preserve">• </w:t>
      </w:r>
      <w:r>
        <w:t>L'automazione serve a ridurre il tempo perso su attività meccaniche, non a togliere responsabilità all'analista.</w:t>
      </w:r>
    </w:p>
    <w:p>
      <w:pPr>
        <w:pStyle w:val="Heading1"/>
      </w:pPr>
      <w:r>
        <w:t>8. Procedura pratica di utilizzo</w:t>
      </w:r>
    </w:p>
    <w:p>
      <w:pPr/>
      <w:r>
        <w:rPr>
          <w:b/>
        </w:rPr>
        <w:t xml:space="preserve">1. </w:t>
      </w:r>
      <w:r>
        <w:t>Creare l'engagement con new_engagement.sh.</w:t>
      </w:r>
    </w:p>
    <w:p>
      <w:pPr/>
      <w:r>
        <w:rPr>
          <w:b/>
        </w:rPr>
        <w:t xml:space="preserve">2. </w:t>
      </w:r>
      <w:r>
        <w:t>Lanciare run_external_snapshot.sh e compilare i target autorizzati.</w:t>
      </w:r>
    </w:p>
    <w:p>
      <w:pPr/>
      <w:r>
        <w:rPr>
          <w:b/>
        </w:rPr>
        <w:t xml:space="preserve">3. </w:t>
      </w:r>
      <w:r>
        <w:t>Attendere la produzione di raw/, processed/ ed evidence/.</w:t>
      </w:r>
    </w:p>
    <w:p>
      <w:pPr/>
      <w:r>
        <w:rPr>
          <w:b/>
        </w:rPr>
        <w:t xml:space="preserve">4. </w:t>
      </w:r>
      <w:r>
        <w:t>Controllare rapidamente evidence/ e i file chiave in processed/.</w:t>
      </w:r>
    </w:p>
    <w:p>
      <w:pPr/>
      <w:r>
        <w:rPr>
          <w:b/>
        </w:rPr>
        <w:t xml:space="preserve">5. </w:t>
      </w:r>
      <w:r>
        <w:t>Lanciare generate_external_report_blocks.sh.</w:t>
      </w:r>
    </w:p>
    <w:p>
      <w:pPr/>
      <w:r>
        <w:rPr>
          <w:b/>
        </w:rPr>
        <w:t xml:space="preserve">6. </w:t>
      </w:r>
      <w:r>
        <w:t>Aprire report/external_snapshot_report_draft.md e leggere i blocchi.</w:t>
      </w:r>
    </w:p>
    <w:p>
      <w:pPr/>
      <w:r>
        <w:rPr>
          <w:b/>
        </w:rPr>
        <w:t xml:space="preserve">7. </w:t>
      </w:r>
      <w:r>
        <w:t>Scrivere il report finale partendo dai blocchi oggettivi e dal proprio giudizio tecnico.</w:t>
      </w:r>
    </w:p>
    <w:p>
      <w:pPr>
        <w:pStyle w:val="Heading1"/>
      </w:pPr>
      <w:r>
        <w:t>9. Conclusione</w:t>
      </w:r>
    </w:p>
    <w:p>
      <w:r>
        <w:t>La forza di questa pipeline non è la mera esecuzione dei tool, ma la disciplina con cui i dati vengono trasformati. Il primo script costruisce la fotografia tecnica. Il secondo script la rende leggibile. Il valore finale nasce quando l'analista usa quella base per produrre un report sintetico, ordinato e realmente utile.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11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374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11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