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rFonts w:ascii="Trebuchet MS" w:cs="Trebuchet MS" w:eastAsia="Trebuchet MS" w:hAnsi="Trebuchet MS"/>
          <w:b w:val="1"/>
          <w:color w:val="0b5394"/>
          <w:sz w:val="24"/>
          <w:szCs w:val="24"/>
        </w:rPr>
      </w:pPr>
      <w:bookmarkStart w:colFirst="0" w:colLast="0" w:name="_nvteqnkz4t7w" w:id="0"/>
      <w:bookmarkEnd w:id="0"/>
      <w:r w:rsidDel="00000000" w:rsidR="00000000" w:rsidRPr="00000000">
        <w:rPr>
          <w:rFonts w:ascii="Trebuchet MS" w:cs="Trebuchet MS" w:eastAsia="Trebuchet MS" w:hAnsi="Trebuchet MS"/>
          <w:b w:val="1"/>
          <w:color w:val="0b5394"/>
          <w:sz w:val="24"/>
          <w:szCs w:val="24"/>
          <w:rtl w:val="0"/>
        </w:rPr>
        <w:t xml:space="preserve">Technical Report: 2025 CWUR University Rankings</w:t>
      </w:r>
    </w:p>
    <w:p w:rsidR="00000000" w:rsidDel="00000000" w:rsidP="00000000" w:rsidRDefault="00000000" w:rsidRPr="00000000" w14:paraId="00000002">
      <w:pPr>
        <w:pStyle w:val="Heading1"/>
        <w:spacing w:line="360" w:lineRule="auto"/>
        <w:jc w:val="both"/>
        <w:rPr>
          <w:rFonts w:ascii="Trebuchet MS" w:cs="Trebuchet MS" w:eastAsia="Trebuchet MS" w:hAnsi="Trebuchet MS"/>
          <w:b w:val="1"/>
          <w:color w:val="0b5394"/>
          <w:sz w:val="24"/>
          <w:szCs w:val="24"/>
        </w:rPr>
      </w:pPr>
      <w:bookmarkStart w:colFirst="0" w:colLast="0" w:name="_jy7t3x4z56hf" w:id="1"/>
      <w:bookmarkEnd w:id="1"/>
      <w:r w:rsidDel="00000000" w:rsidR="00000000" w:rsidRPr="00000000">
        <w:rPr>
          <w:rFonts w:ascii="Trebuchet MS" w:cs="Trebuchet MS" w:eastAsia="Trebuchet MS" w:hAnsi="Trebuchet MS"/>
          <w:b w:val="1"/>
          <w:color w:val="0b5394"/>
          <w:sz w:val="24"/>
          <w:szCs w:val="24"/>
          <w:rtl w:val="0"/>
        </w:rPr>
        <w:t xml:space="preserve">1. Data Profile</w:t>
      </w:r>
    </w:p>
    <w:p w:rsidR="00000000" w:rsidDel="00000000" w:rsidP="00000000" w:rsidRDefault="00000000" w:rsidRPr="00000000" w14:paraId="00000003">
      <w:pPr>
        <w:pStyle w:val="Heading2"/>
        <w:spacing w:line="360" w:lineRule="auto"/>
        <w:jc w:val="both"/>
        <w:rPr>
          <w:rFonts w:ascii="Trebuchet MS" w:cs="Trebuchet MS" w:eastAsia="Trebuchet MS" w:hAnsi="Trebuchet MS"/>
          <w:b w:val="1"/>
          <w:sz w:val="24"/>
          <w:szCs w:val="24"/>
        </w:rPr>
      </w:pPr>
      <w:bookmarkStart w:colFirst="0" w:colLast="0" w:name="_tnq8c0x9bk2c" w:id="2"/>
      <w:bookmarkEnd w:id="2"/>
      <w:r w:rsidDel="00000000" w:rsidR="00000000" w:rsidRPr="00000000">
        <w:rPr>
          <w:rFonts w:ascii="Trebuchet MS" w:cs="Trebuchet MS" w:eastAsia="Trebuchet MS" w:hAnsi="Trebuchet MS"/>
          <w:b w:val="1"/>
          <w:sz w:val="24"/>
          <w:szCs w:val="24"/>
          <w:rtl w:val="0"/>
        </w:rPr>
        <w:t xml:space="preserve">Before Cleaning:</w:t>
      </w:r>
    </w:p>
    <w:p w:rsidR="00000000" w:rsidDel="00000000" w:rsidP="00000000" w:rsidRDefault="00000000" w:rsidRPr="00000000" w14:paraId="00000004">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raw dataset for the 2025 CWUR University Rankings consists of 2,000 global institutions, with columns including World Rank, Institution, Location, National Rank, Education Rank, Employability Rank, Faculty Rank, Research Rank, and Score. The dataset contains a mixture of numeric and categorical variables.The raw dataset contains 2,000columns of various data types: World Rank, Institution, Location, Education Rank, Employability Rank, Faculty Rank, and Research Rank are objects (categorical), while National Rank is an integer and Score is a float (numeric).</w:t>
      </w:r>
    </w:p>
    <w:p w:rsidR="00000000" w:rsidDel="00000000" w:rsidP="00000000" w:rsidRDefault="00000000" w:rsidRPr="00000000" w14:paraId="00000005">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sz w:val="24"/>
          <w:szCs w:val="24"/>
          <w:rtl w:val="0"/>
        </w:rPr>
        <w:t xml:space="preserve">Several columns contained substantial missing values. Faculty Rank had the highest missingness at 86.1%, followed by Education Rank at 77.7%, Employability Rank at 48.1%, and Research Rank at 3.4%. Other columns, such as Institution, Location, and World Rank, were complete. The numeric variables exhibited wide ranges: National Rank ranged from 1 to 346, and Score ranged from 66.2 to 100, with a mean of 71.96 and a standard deviation of 4.99. Among categorical variables, Institution and World Rank each had 2,000 unique entries, Location had 94, Education Rank had 446, Employability Rank had 1,036, Faculty Rank had 267, and Research Rank had 1,932 unique entries. The dataset had no duplicate rows.</w:t>
      </w:r>
      <w:r w:rsidDel="00000000" w:rsidR="00000000" w:rsidRPr="00000000">
        <w:rPr>
          <w:rtl w:val="0"/>
        </w:rPr>
      </w:r>
    </w:p>
    <w:p w:rsidR="00000000" w:rsidDel="00000000" w:rsidP="00000000" w:rsidRDefault="00000000" w:rsidRPr="00000000" w14:paraId="00000006">
      <w:pPr>
        <w:pStyle w:val="Heading2"/>
        <w:spacing w:line="360" w:lineRule="auto"/>
        <w:jc w:val="both"/>
        <w:rPr>
          <w:rFonts w:ascii="Trebuchet MS" w:cs="Trebuchet MS" w:eastAsia="Trebuchet MS" w:hAnsi="Trebuchet MS"/>
          <w:sz w:val="24"/>
          <w:szCs w:val="24"/>
        </w:rPr>
      </w:pPr>
      <w:bookmarkStart w:colFirst="0" w:colLast="0" w:name="_n7ivq71wt77e" w:id="3"/>
      <w:bookmarkEnd w:id="3"/>
      <w:r w:rsidDel="00000000" w:rsidR="00000000" w:rsidRPr="00000000">
        <w:rPr>
          <w:rFonts w:ascii="Trebuchet MS" w:cs="Trebuchet MS" w:eastAsia="Trebuchet MS" w:hAnsi="Trebuchet MS"/>
          <w:b w:val="1"/>
          <w:sz w:val="24"/>
          <w:szCs w:val="24"/>
          <w:rtl w:val="0"/>
        </w:rPr>
        <w:t xml:space="preserve">After Cleaning:</w:t>
      </w:r>
      <w:r w:rsidDel="00000000" w:rsidR="00000000" w:rsidRPr="00000000">
        <w:rPr>
          <w:rtl w:val="0"/>
        </w:rPr>
      </w:r>
    </w:p>
    <w:p w:rsidR="00000000" w:rsidDel="00000000" w:rsidP="00000000" w:rsidRDefault="00000000" w:rsidRPr="00000000" w14:paraId="00000007">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final cleaned dataset contains 2,000 institutions and the following numeric columns: World Rank1, Global Percentile (%), National Rank, Employability Rank, Research Rank, Score, and Score_Normalized. Categorical columns include Institution, Location, Global Region, and World Rank. Numeric variables display wide ranges: World Rank1 ranges from 1 to 2,000, Global Percentile (%) from 0.1 to 9.4, Employability Rank from 1 to 1,753, and Score from 66.2 to 100, with a normalized score ranging from 0 to 1. Categorical variables maintain the same uniqueness as before cleaning, with 2,000 unique institutions, 94 locations, five global regions, and 2,000 unique World Rank entries. After cleaning, there are no missing values and zero duplicate rows, ensuring the dataset is complete and ready for storage and further analysis.</w:t>
      </w:r>
      <w:r w:rsidDel="00000000" w:rsidR="00000000" w:rsidRPr="00000000">
        <w:rPr>
          <w:rtl w:val="0"/>
        </w:rPr>
      </w:r>
    </w:p>
    <w:p w:rsidR="00000000" w:rsidDel="00000000" w:rsidP="00000000" w:rsidRDefault="00000000" w:rsidRPr="00000000" w14:paraId="00000008">
      <w:pPr>
        <w:spacing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rebuchet MS" w:cs="Trebuchet MS" w:eastAsia="Trebuchet MS" w:hAnsi="Trebuchet MS"/>
          <w:b w:val="1"/>
          <w:color w:val="0b5394"/>
          <w:sz w:val="24"/>
          <w:szCs w:val="24"/>
        </w:rPr>
      </w:pPr>
      <w:r w:rsidDel="00000000" w:rsidR="00000000" w:rsidRPr="00000000">
        <w:rPr>
          <w:rFonts w:ascii="Trebuchet MS" w:cs="Trebuchet MS" w:eastAsia="Trebuchet MS" w:hAnsi="Trebuchet MS"/>
          <w:b w:val="1"/>
          <w:color w:val="0b5394"/>
          <w:sz w:val="24"/>
          <w:szCs w:val="24"/>
          <w:rtl w:val="0"/>
        </w:rPr>
        <w:t xml:space="preserve">2. Decision Rationale</w:t>
      </w:r>
    </w:p>
    <w:p w:rsidR="00000000" w:rsidDel="00000000" w:rsidP="00000000" w:rsidRDefault="00000000" w:rsidRPr="00000000" w14:paraId="0000000A">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research problem guiding this study was to understand patterns in global university performance, examining how institutions rank across metrics such as employability, research output, and overall score. The primary hypothesis was that higher-ranked universities would consistently perform better across all measured criteria, and that regional differences might influence specific metrics like employability and research excellence. The study objectives were to acquire accurate 2025 CWUR university rankings, clean and structure the dataset, and store it in formats optimized for future analytics.</w:t>
      </w:r>
    </w:p>
    <w:p w:rsidR="00000000" w:rsidDel="00000000" w:rsidP="00000000" w:rsidRDefault="00000000" w:rsidRPr="00000000" w14:paraId="0000000B">
      <w:pP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Several key data wrangling decisions were made to ensure data integrity and analytical utility. Columns with excessive missing values, such as </w:t>
      </w:r>
      <w:r w:rsidDel="00000000" w:rsidR="00000000" w:rsidRPr="00000000">
        <w:rPr>
          <w:rFonts w:ascii="Trebuchet MS" w:cs="Trebuchet MS" w:eastAsia="Trebuchet MS" w:hAnsi="Trebuchet MS"/>
          <w:i w:val="1"/>
          <w:sz w:val="24"/>
          <w:szCs w:val="24"/>
          <w:rtl w:val="0"/>
        </w:rPr>
        <w:t xml:space="preserve">Faculty Rank</w:t>
      </w:r>
      <w:r w:rsidDel="00000000" w:rsidR="00000000" w:rsidRPr="00000000">
        <w:rPr>
          <w:rFonts w:ascii="Trebuchet MS" w:cs="Trebuchet MS" w:eastAsia="Trebuchet MS" w:hAnsi="Trebuchet MS"/>
          <w:sz w:val="24"/>
          <w:szCs w:val="24"/>
          <w:rtl w:val="0"/>
        </w:rPr>
        <w:t xml:space="preserve"> and </w:t>
      </w:r>
      <w:r w:rsidDel="00000000" w:rsidR="00000000" w:rsidRPr="00000000">
        <w:rPr>
          <w:rFonts w:ascii="Trebuchet MS" w:cs="Trebuchet MS" w:eastAsia="Trebuchet MS" w:hAnsi="Trebuchet MS"/>
          <w:i w:val="1"/>
          <w:sz w:val="24"/>
          <w:szCs w:val="24"/>
          <w:rtl w:val="0"/>
        </w:rPr>
        <w:t xml:space="preserve">Education Rank</w:t>
      </w:r>
      <w:r w:rsidDel="00000000" w:rsidR="00000000" w:rsidRPr="00000000">
        <w:rPr>
          <w:rFonts w:ascii="Trebuchet MS" w:cs="Trebuchet MS" w:eastAsia="Trebuchet MS" w:hAnsi="Trebuchet MS"/>
          <w:sz w:val="24"/>
          <w:szCs w:val="24"/>
          <w:rtl w:val="0"/>
        </w:rPr>
        <w:t xml:space="preserve">, were removed to prevent bias, as they contained over 86% and 77% missing data, respectively. For </w:t>
      </w:r>
      <w:r w:rsidDel="00000000" w:rsidR="00000000" w:rsidRPr="00000000">
        <w:rPr>
          <w:rFonts w:ascii="Trebuchet MS" w:cs="Trebuchet MS" w:eastAsia="Trebuchet MS" w:hAnsi="Trebuchet MS"/>
          <w:i w:val="1"/>
          <w:sz w:val="24"/>
          <w:szCs w:val="24"/>
          <w:rtl w:val="0"/>
        </w:rPr>
        <w:t xml:space="preserve">Employability Rank</w:t>
      </w:r>
      <w:r w:rsidDel="00000000" w:rsidR="00000000" w:rsidRPr="00000000">
        <w:rPr>
          <w:rFonts w:ascii="Trebuchet MS" w:cs="Trebuchet MS" w:eastAsia="Trebuchet MS" w:hAnsi="Trebuchet MS"/>
          <w:sz w:val="24"/>
          <w:szCs w:val="24"/>
          <w:rtl w:val="0"/>
        </w:rPr>
        <w:t xml:space="preserve">, which had 48% missing values, iterative imputation using a Random Forest Regressor was applied. This method was chosen because it effectively models non-linear relationships and predicts missing entries without discarding significant portions of the dataset. Although ordinal forests were the preferred method, compatibility issues with the available Python version required the practical use of Random Forests.</w:t>
      </w:r>
    </w:p>
    <w:p w:rsidR="00000000" w:rsidDel="00000000" w:rsidP="00000000" w:rsidRDefault="00000000" w:rsidRPr="00000000" w14:paraId="0000000C">
      <w:pP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Global_Region column was added to group countries into broader geographic regions. This transformation allows for comparative analysis across continents and simplifies aggregation in analytics. It was encoded as a categorical variable because regions are qualitative attributes. This feature engineering step enhances the interpretability of the dataset for downstream analysis and reporting.</w:t>
      </w:r>
    </w:p>
    <w:p w:rsidR="00000000" w:rsidDel="00000000" w:rsidP="00000000" w:rsidRDefault="00000000" w:rsidRPr="00000000" w14:paraId="0000000D">
      <w:pP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w:t>
      </w:r>
      <w:r w:rsidDel="00000000" w:rsidR="00000000" w:rsidRPr="00000000">
        <w:rPr>
          <w:rFonts w:ascii="Trebuchet MS" w:cs="Trebuchet MS" w:eastAsia="Trebuchet MS" w:hAnsi="Trebuchet MS"/>
          <w:i w:val="1"/>
          <w:sz w:val="24"/>
          <w:szCs w:val="24"/>
          <w:rtl w:val="0"/>
        </w:rPr>
        <w:t xml:space="preserve">World Rank</w:t>
      </w:r>
      <w:r w:rsidDel="00000000" w:rsidR="00000000" w:rsidRPr="00000000">
        <w:rPr>
          <w:rFonts w:ascii="Trebuchet MS" w:cs="Trebuchet MS" w:eastAsia="Trebuchet MS" w:hAnsi="Trebuchet MS"/>
          <w:sz w:val="24"/>
          <w:szCs w:val="24"/>
          <w:rtl w:val="0"/>
        </w:rPr>
        <w:t xml:space="preserve"> column combined ranking and percentile information in a single string. To make it numerically usable, it was split into </w:t>
      </w:r>
      <w:r w:rsidDel="00000000" w:rsidR="00000000" w:rsidRPr="00000000">
        <w:rPr>
          <w:rFonts w:ascii="Trebuchet MS" w:cs="Trebuchet MS" w:eastAsia="Trebuchet MS" w:hAnsi="Trebuchet MS"/>
          <w:i w:val="1"/>
          <w:sz w:val="24"/>
          <w:szCs w:val="24"/>
          <w:rtl w:val="0"/>
        </w:rPr>
        <w:t xml:space="preserve">World Rank1</w:t>
      </w:r>
      <w:r w:rsidDel="00000000" w:rsidR="00000000" w:rsidRPr="00000000">
        <w:rPr>
          <w:rFonts w:ascii="Trebuchet MS" w:cs="Trebuchet MS" w:eastAsia="Trebuchet MS" w:hAnsi="Trebuchet MS"/>
          <w:sz w:val="24"/>
          <w:szCs w:val="24"/>
          <w:rtl w:val="0"/>
        </w:rPr>
        <w:t xml:space="preserve"> (numeric rank) and </w:t>
      </w:r>
      <w:r w:rsidDel="00000000" w:rsidR="00000000" w:rsidRPr="00000000">
        <w:rPr>
          <w:rFonts w:ascii="Trebuchet MS" w:cs="Trebuchet MS" w:eastAsia="Trebuchet MS" w:hAnsi="Trebuchet MS"/>
          <w:i w:val="1"/>
          <w:sz w:val="24"/>
          <w:szCs w:val="24"/>
          <w:rtl w:val="0"/>
        </w:rPr>
        <w:t xml:space="preserve">Global Percentile (%)</w:t>
      </w:r>
      <w:r w:rsidDel="00000000" w:rsidR="00000000" w:rsidRPr="00000000">
        <w:rPr>
          <w:rFonts w:ascii="Trebuchet MS" w:cs="Trebuchet MS" w:eastAsia="Trebuchet MS" w:hAnsi="Trebuchet MS"/>
          <w:sz w:val="24"/>
          <w:szCs w:val="24"/>
          <w:rtl w:val="0"/>
        </w:rPr>
        <w:t xml:space="preserve">, with percentile values normalized between 0 and 1. This ensured comparability across scales and preserved the information for analytical purposes. These decisions collectively ensured the dataset was clean, consistent, and ready for storage and further analysis, while adhering to sound methodological principles.</w:t>
      </w:r>
    </w:p>
    <w:p w:rsidR="00000000" w:rsidDel="00000000" w:rsidP="00000000" w:rsidRDefault="00000000" w:rsidRPr="00000000" w14:paraId="0000000E">
      <w:pPr>
        <w:pStyle w:val="Heading1"/>
        <w:spacing w:line="360" w:lineRule="auto"/>
        <w:jc w:val="both"/>
        <w:rPr>
          <w:rFonts w:ascii="Trebuchet MS" w:cs="Trebuchet MS" w:eastAsia="Trebuchet MS" w:hAnsi="Trebuchet MS"/>
          <w:b w:val="1"/>
          <w:color w:val="1155cc"/>
          <w:sz w:val="24"/>
          <w:szCs w:val="24"/>
        </w:rPr>
      </w:pPr>
      <w:bookmarkStart w:colFirst="0" w:colLast="0" w:name="_ma9sghzh88lr" w:id="4"/>
      <w:bookmarkEnd w:id="4"/>
      <w:r w:rsidDel="00000000" w:rsidR="00000000" w:rsidRPr="00000000">
        <w:rPr>
          <w:rFonts w:ascii="Trebuchet MS" w:cs="Trebuchet MS" w:eastAsia="Trebuchet MS" w:hAnsi="Trebuchet MS"/>
          <w:b w:val="1"/>
          <w:color w:val="1155cc"/>
          <w:sz w:val="24"/>
          <w:szCs w:val="24"/>
          <w:rtl w:val="0"/>
        </w:rPr>
        <w:t xml:space="preserve">3. Storage Comparison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dataset was stored using two formats: SQLite and Parquet, each selected for complementary use cases:</w:t>
      </w:r>
    </w:p>
    <w:p w:rsidR="00000000" w:rsidDel="00000000" w:rsidP="00000000" w:rsidRDefault="00000000" w:rsidRPr="00000000" w14:paraId="00000010">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SQLite: Storing the data in a relational database (rankings.db) enables structured querying, transactional consistency, and integration with SQL-based reporting tools. This format is ideal for scenarios where users need to run complex queries or join tables within a relational schema.</w:t>
      </w:r>
    </w:p>
    <w:p w:rsidR="00000000" w:rsidDel="00000000" w:rsidP="00000000" w:rsidRDefault="00000000" w:rsidRPr="00000000" w14:paraId="0000001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Parquet: Columnar storage in Parquet format (rankings.parquet) provides efficient compression and faster retrieval for analytic workflows, particularly when dealing with large datasets in frameworks like Spark or Dask. It is optimized for read-heavy operations and reduces storage overhead compared to CSV or relational tables.</w:t>
      </w:r>
    </w:p>
    <w:p w:rsidR="00000000" w:rsidDel="00000000" w:rsidP="00000000" w:rsidRDefault="00000000" w:rsidRPr="00000000" w14:paraId="00000012">
      <w:pPr>
        <w:spacing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By using both formats, the dataset remains accessible for multiple purposes: structured relational operations via SQLite and high performance analytics via Parquet. Validation checks confirmed that data stored in both formats retained full integrity relative to the cleaned dataset.</w:t>
      </w:r>
    </w:p>
    <w:p w:rsidR="00000000" w:rsidDel="00000000" w:rsidP="00000000" w:rsidRDefault="00000000" w:rsidRPr="00000000" w14:paraId="00000014">
      <w:pPr>
        <w:pStyle w:val="Heading1"/>
        <w:keepNext w:val="0"/>
        <w:keepLines w:val="0"/>
        <w:spacing w:before="280" w:line="360" w:lineRule="auto"/>
        <w:jc w:val="both"/>
        <w:rPr>
          <w:rFonts w:ascii="Trebuchet MS" w:cs="Trebuchet MS" w:eastAsia="Trebuchet MS" w:hAnsi="Trebuchet MS"/>
          <w:b w:val="1"/>
          <w:color w:val="0b5394"/>
          <w:sz w:val="24"/>
          <w:szCs w:val="24"/>
        </w:rPr>
      </w:pPr>
      <w:bookmarkStart w:colFirst="0" w:colLast="0" w:name="_hkpcx1qyusp7" w:id="5"/>
      <w:bookmarkEnd w:id="5"/>
      <w:r w:rsidDel="00000000" w:rsidR="00000000" w:rsidRPr="00000000">
        <w:rPr>
          <w:rFonts w:ascii="Trebuchet MS" w:cs="Trebuchet MS" w:eastAsia="Trebuchet MS" w:hAnsi="Trebuchet MS"/>
          <w:b w:val="1"/>
          <w:color w:val="0b5394"/>
          <w:sz w:val="24"/>
          <w:szCs w:val="24"/>
          <w:rtl w:val="0"/>
        </w:rPr>
        <w:t xml:space="preserve">Challenges</w:t>
      </w:r>
    </w:p>
    <w:p w:rsidR="00000000" w:rsidDel="00000000" w:rsidP="00000000" w:rsidRDefault="00000000" w:rsidRPr="00000000" w14:paraId="00000015">
      <w:pPr>
        <w:pStyle w:val="Heading1"/>
        <w:keepNext w:val="0"/>
        <w:keepLines w:val="0"/>
        <w:spacing w:before="280" w:line="360" w:lineRule="auto"/>
        <w:jc w:val="both"/>
        <w:rPr>
          <w:rFonts w:ascii="Trebuchet MS" w:cs="Trebuchet MS" w:eastAsia="Trebuchet MS" w:hAnsi="Trebuchet MS"/>
          <w:sz w:val="24"/>
          <w:szCs w:val="24"/>
        </w:rPr>
      </w:pPr>
      <w:bookmarkStart w:colFirst="0" w:colLast="0" w:name="_lmxuzbbhhgla" w:id="6"/>
      <w:bookmarkEnd w:id="6"/>
      <w:r w:rsidDel="00000000" w:rsidR="00000000" w:rsidRPr="00000000">
        <w:rPr>
          <w:rFonts w:ascii="Trebuchet MS" w:cs="Trebuchet MS" w:eastAsia="Trebuchet MS" w:hAnsi="Trebuchet MS"/>
          <w:sz w:val="24"/>
          <w:szCs w:val="24"/>
          <w:rtl w:val="0"/>
        </w:rPr>
        <w:t xml:space="preserve">The data collection and wrangling process presented several technical challenges that required adaptive problem-solving and technical adjustments. During the data sourcing phase, attempts to obtain the dataset through direct web access were repeatedly blocked by the host servers, which identified automated scripts as potential bot activity. To address this, a web-scraping method was employed that mimicked normal browser behavior through the configuration of a custom “user-agent” header. This adjustment allowed the script to successfully access the data without breaching access restrictions.</w:t>
      </w:r>
    </w:p>
    <w:p w:rsidR="00000000" w:rsidDel="00000000" w:rsidP="00000000" w:rsidRDefault="00000000" w:rsidRPr="00000000" w14:paraId="00000016">
      <w:pP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Additionally, efforts to obtain data via Application Programming Interfaces (APIs) were met with multiple access barriers. Many APIs required prior authorization, payment, or subscription, which made them impractical for use within the project’s scope. Consequently, scraping emerged as the most viable alternative despite its technical limitations.</w:t>
      </w:r>
    </w:p>
    <w:p w:rsidR="00000000" w:rsidDel="00000000" w:rsidP="00000000" w:rsidRDefault="00000000" w:rsidRPr="00000000" w14:paraId="00000017">
      <w:pP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Further challenges arose during the data cleaning process. The raw dataset initially contained approximately 48% missing values, which necessitated an advanced imputation approach. A random forest imputation method was adopted to estimate the missing values accurately while maintaining the dataset’s statistical integrity. Initially, an ordinal forest imputation method had been planned due to its suitability for mixed data types; however, implementation proved difficult because the required Python library was incompatible with the current Python version in use. This compatibility issue prompted a shift toward the more accessible random forest method, ensuring the data was properly cleaned for subsequent 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