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color w:val="01426A"/>
          <w:sz w:val="40"/>
        </w:rPr>
        <w:t>DOCUMENTO DE FORMALIZAÇÃO DE DEMANDA (DFD)</w:t>
      </w:r>
    </w:p>
    <w:p>
      <w:r>
        <w:rPr>
          <w:b/>
        </w:rPr>
        <w:t>Órgão:</w:t>
      </w:r>
      <w:r>
        <w:t xml:space="preserve"> Tribunal Regional do Trabalho da 10ª Região - TRT10</w:t>
      </w:r>
    </w:p>
    <w:p>
      <w:r>
        <w:rPr>
          <w:b/>
        </w:rPr>
        <w:t>Unidade demandante:</w:t>
      </w:r>
      <w:r>
        <w:t xml:space="preserve"> Coordenadoria de Infraestrutura de Tecnologia - CDTEC</w:t>
      </w:r>
    </w:p>
    <w:p>
      <w:r>
        <w:rPr>
          <w:b/>
        </w:rPr>
        <w:t>Objeto:</w:t>
      </w:r>
      <w:r>
        <w:t xml:space="preserve"> Contratação de serviços continuados de comunicação de dados por MPLS para interconexão das unidades do TRT10 à Sede, em arquitetura integrada com a SD-WAN vigente; contratação de link dedicado ponto-a-ponto de 25 Gbps entre a Sede e o Foro de Brasília; e contratação de links dedicados de Internet centralizados na Sede e no Foro, com Anti-DDoS e 32 IPs fixos por link.</w:t>
      </w:r>
    </w:p>
    <w:p>
      <w:r>
        <w:rPr>
          <w:b/>
        </w:rPr>
        <w:t>Versão:</w:t>
      </w:r>
      <w:r>
        <w:t xml:space="preserve"> Minuta técnica - arquitetura de redundância total MPLS/SD-WAN, link dedicado Sede-Foro e Internet centralizada - versão humanizada</w:t>
      </w:r>
    </w:p>
    <w:p>
      <w:r>
        <w:rPr>
          <w:b/>
        </w:rPr>
        <w:t>Data:</w:t>
      </w:r>
      <w:r>
        <w:t xml:space="preserve"> 12/06/2026</w:t>
      </w:r>
    </w:p>
    <w:p>
      <w:pPr>
        <w:pStyle w:val="Heading1"/>
      </w:pPr>
      <w:r>
        <w:t>1. Unidade Demandante</w:t>
      </w:r>
    </w:p>
    <w:p>
      <w:pPr>
        <w:pStyle w:val="Heading2"/>
      </w:pPr>
      <w:r>
        <w:t>1.1 Nome da Unidade</w:t>
      </w:r>
    </w:p>
    <w:p>
      <w:r>
        <w:t>Coordenadoria de Infraestrutura de Tecnologia.</w:t>
      </w:r>
    </w:p>
    <w:p>
      <w:pPr>
        <w:pStyle w:val="Heading2"/>
      </w:pPr>
      <w:r>
        <w:t>1.2 Sigla da Unidade</w:t>
      </w:r>
    </w:p>
    <w:p>
      <w:r>
        <w:t>CDTEC.</w:t>
      </w:r>
    </w:p>
    <w:p>
      <w:pPr>
        <w:pStyle w:val="Heading1"/>
      </w:pPr>
      <w:r>
        <w:t>2. Justificativa da Necessidade da Contratação</w:t>
      </w:r>
    </w:p>
    <w:p>
      <w:pPr>
        <w:pStyle w:val="Heading2"/>
      </w:pPr>
      <w:r>
        <w:t>2.1 Justificativa da necessidade</w:t>
      </w:r>
    </w:p>
    <w:p>
      <w:r>
        <w:t>O TRT10 depende de conectividade permanente, segura e resiliente entre suas unidades para sustentar o Processo Judicial Eletrônico, sistemas administrativos, serviços internos de TIC, autenticação, colaboração institucional, acesso a redes externas, contingência, suporte técnico e atividades de atendimento ao público.</w:t>
      </w:r>
    </w:p>
    <w:p>
      <w:r>
        <w:t>A demanda compreende uma arquitetura integrada, composta por três blocos complementares:</w:t>
      </w:r>
    </w:p>
    <w:p>
      <w:pPr>
        <w:pStyle w:val="ListBullet"/>
      </w:pPr>
      <w:r>
        <w:t>rede MPLS para interconectar as 10 localidades à Sede, com capacidades equivalentes às capacidades dos links SD-WAN vigentes em cada localidade;</w:t>
      </w:r>
    </w:p>
    <w:p>
      <w:pPr>
        <w:pStyle w:val="ListBullet"/>
      </w:pPr>
      <w:r>
        <w:t>link dedicado ponto-a-ponto de 25 Gbps entre o Edifício Sede e o Foro de Brasília, para replicação, sincronização, backup, continuidade, redundância da Sede e uso do Foro como ponto contingencial de acesso das unidades;</w:t>
      </w:r>
    </w:p>
    <w:p>
      <w:pPr>
        <w:pStyle w:val="ListBullet"/>
      </w:pPr>
      <w:r>
        <w:t>links dedicados de Internet centralizados, sendo 3 links de 4 Gbps na Sede e 2 links de 2 Gbps no Foro de Brasília, cada link com Anti-DDoS e 32 IPs fixos, em itens separados e com provedores distintos por localidade.</w:t>
      </w:r>
    </w:p>
    <w:p>
      <w:r>
        <w:t>O escopo da contratação contempla os links de Internet dedicada como componente essencial da arquitetura de conectividade do Tribunal. Esses serão os únicos links de Internet do TRT10 no desenho pretendido, estruturando o acesso externo em pontos centrais controlados, monitorados e protegidos. A Sede funcionará como ponto principal de egressão; o Foro de Brasília funcionará como ponto redundante, preparado para assumir tráfego de Internet e acesso das unidades em cenário de indisponibilidade, manutenção ou degradação relevante da Sede.</w:t>
      </w:r>
    </w:p>
    <w:p>
      <w:r>
        <w:t>A exigência de 3 provedores distintos na Sede e 2 provedores distintos no Foro reduz o risco de falha comum, indisponibilidade regional, bloqueio operacional, erro de roteamento, ataque volumétrico, falha de backbone ou incidente comercial afetar simultaneamente todos os acessos de uma mesma localidade. Cada link de Internet será licitado como item próprio. A mesma empresa não poderá vencer mais de um link de Internet na mesma localidade, mas poderá vencer um item da Sede e um item do Foro, pois os domínios de falha e as rotas físicas devem ser analisados por localidade.</w:t>
      </w:r>
    </w:p>
    <w:p>
      <w:r>
        <w:t>A exigência de Anti-DDoS por link é compatível com a função dos enlaces, pois a Internet centralizada concentrará tráfego institucional e se tornará ponto crítico para proteção da disponibilidade dos serviços digitais. O bloco de 32 IPs fixos por link viabiliza publicação controlada de serviços, NAT, segmentação de borda, regras de segurança, balanceamento, contingência, reputação de endereços e segregação de ambientes, devendo ser entregue como bloco IPv4 público fixo /27 ou arranjo equivalente que disponibilize 32 endereços públicos fixos por link, observadas as reservas técnicas usuais quando aplicáveis.</w:t>
      </w:r>
    </w:p>
    <w:p>
      <w:r>
        <w:t>A uso de MPLS com a mesma capacidade nominal dos links SD-WAN reduz o risco de subdimensionamento em cenários de crise, elimina a necessidade de escolher previamente quais sistemas seriam degradados durante falha de uma camada e preserva a experiência operacional das unidades. O link dedicado de 25 Gbps entre Sede e Foro não integra a malha MPLS; ele constitui interligação dedicada de alta capacidade para replicação, backup, continuidade e contingência.</w:t>
      </w:r>
    </w:p>
    <w:p>
      <w:pPr>
        <w:pStyle w:val="Heading2"/>
      </w:pPr>
      <w:r>
        <w:t>2.1.1 Soluções possíveis consideradas</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Alternativa</w:t>
            </w:r>
          </w:p>
        </w:tc>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Síntese</w:t>
            </w:r>
          </w:p>
        </w:tc>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Avaliação</w:t>
            </w:r>
          </w:p>
        </w:tc>
      </w:tr>
      <w:tr>
        <w:tc>
          <w:tcPr>
            <w:tcW w:type="dxa" w:w="3120"/>
            <w:vAlign w:val="center"/>
            <w:tcMar>
              <w:top w:w="80" w:type="dxa"/>
              <w:start w:w="120" w:type="dxa"/>
              <w:bottom w:w="80" w:type="dxa"/>
              <w:end w:w="120" w:type="dxa"/>
            </w:tcMar>
          </w:tcPr>
          <w:p>
            <w:pPr>
              <w:spacing w:after="0"/>
            </w:pPr>
            <w:r>
              <w:rPr>
                <w:rFonts w:ascii="Calibri" w:hAnsi="Calibri"/>
                <w:sz w:val="18"/>
              </w:rPr>
              <w:t>Solução 1 - MPLS integrado à SD-WAN, link dedicado Sede-Foro e Internet centralizada</w:t>
            </w:r>
          </w:p>
        </w:tc>
        <w:tc>
          <w:tcPr>
            <w:tcW w:type="dxa" w:w="3120"/>
            <w:vAlign w:val="center"/>
            <w:tcMar>
              <w:top w:w="80" w:type="dxa"/>
              <w:start w:w="120" w:type="dxa"/>
              <w:bottom w:w="80" w:type="dxa"/>
              <w:end w:w="120" w:type="dxa"/>
            </w:tcMar>
          </w:tcPr>
          <w:p>
            <w:pPr>
              <w:spacing w:after="0"/>
            </w:pPr>
            <w:r>
              <w:rPr>
                <w:rFonts w:ascii="Calibri" w:hAnsi="Calibri"/>
                <w:sz w:val="18"/>
              </w:rPr>
              <w:t>Contratar MPLS para tráfego crítico, manter convivência com a SD-WAN vigente, contratar link dedicado de 25 Gbps entre Sede e Foro e centralizar a Internet em 3 links de 4 Gbps na Sede e 2 links de 2 Gbps no Foro, todos com Anti-DDoS e 32 IPs fixos.</w:t>
            </w:r>
          </w:p>
        </w:tc>
        <w:tc>
          <w:tcPr>
            <w:tcW w:type="dxa" w:w="3120"/>
            <w:vAlign w:val="center"/>
            <w:tcMar>
              <w:top w:w="80" w:type="dxa"/>
              <w:start w:w="120" w:type="dxa"/>
              <w:bottom w:w="80" w:type="dxa"/>
              <w:end w:w="120" w:type="dxa"/>
            </w:tcMar>
          </w:tcPr>
          <w:p>
            <w:pPr>
              <w:spacing w:after="0"/>
            </w:pPr>
            <w:r>
              <w:rPr>
                <w:rFonts w:ascii="Calibri" w:hAnsi="Calibri"/>
                <w:sz w:val="18"/>
              </w:rPr>
              <w:t>Alternativa preferencial. Combina rede privada, redundância total por capacidade, alta capacidade entre pontos centrais, proteção Anti-DDoS, centralização de segurança e provedores distintos nos pontos de Internet.</w:t>
            </w:r>
          </w:p>
        </w:tc>
      </w:tr>
      <w:tr>
        <w:tc>
          <w:tcPr>
            <w:tcW w:type="dxa" w:w="3120"/>
            <w:vAlign w:val="center"/>
            <w:tcMar>
              <w:top w:w="80" w:type="dxa"/>
              <w:start w:w="120" w:type="dxa"/>
              <w:bottom w:w="80" w:type="dxa"/>
              <w:end w:w="120" w:type="dxa"/>
            </w:tcMar>
          </w:tcPr>
          <w:p>
            <w:pPr>
              <w:spacing w:after="0"/>
            </w:pPr>
            <w:r>
              <w:rPr>
                <w:rFonts w:ascii="Calibri" w:hAnsi="Calibri"/>
                <w:sz w:val="18"/>
              </w:rPr>
              <w:t>Solução 2 - Internet distribuída em todas as unidades com VPN/SD-WAN</w:t>
            </w:r>
          </w:p>
        </w:tc>
        <w:tc>
          <w:tcPr>
            <w:tcW w:type="dxa" w:w="3120"/>
            <w:vAlign w:val="center"/>
            <w:tcMar>
              <w:top w:w="80" w:type="dxa"/>
              <w:start w:w="120" w:type="dxa"/>
              <w:bottom w:w="80" w:type="dxa"/>
              <w:end w:w="120" w:type="dxa"/>
            </w:tcMar>
          </w:tcPr>
          <w:p>
            <w:pPr>
              <w:spacing w:after="0"/>
            </w:pPr>
            <w:r>
              <w:rPr>
                <w:rFonts w:ascii="Calibri" w:hAnsi="Calibri"/>
                <w:sz w:val="18"/>
              </w:rPr>
              <w:t>Contratar ou manter saídas de Internet em cada localidade e criar túneis até os pontos centrais.</w:t>
            </w:r>
          </w:p>
        </w:tc>
        <w:tc>
          <w:tcPr>
            <w:tcW w:type="dxa" w:w="3120"/>
            <w:vAlign w:val="center"/>
            <w:tcMar>
              <w:top w:w="80" w:type="dxa"/>
              <w:start w:w="120" w:type="dxa"/>
              <w:bottom w:w="80" w:type="dxa"/>
              <w:end w:w="120" w:type="dxa"/>
            </w:tcMar>
          </w:tcPr>
          <w:p>
            <w:pPr>
              <w:spacing w:after="0"/>
            </w:pPr>
            <w:r>
              <w:rPr>
                <w:rFonts w:ascii="Calibri" w:hAnsi="Calibri"/>
                <w:sz w:val="18"/>
              </w:rPr>
              <w:t>Aumenta a superfície de ataque, dispersa políticas de segurança, amplia a complexidade de monitoramento e reduz o controle centralizado. Pode ser útil apenas como contingência excepcional.</w:t>
            </w:r>
          </w:p>
        </w:tc>
      </w:tr>
      <w:tr>
        <w:tc>
          <w:tcPr>
            <w:tcW w:type="dxa" w:w="3120"/>
            <w:vAlign w:val="center"/>
            <w:tcMar>
              <w:top w:w="80" w:type="dxa"/>
              <w:start w:w="120" w:type="dxa"/>
              <w:bottom w:w="80" w:type="dxa"/>
              <w:end w:w="120" w:type="dxa"/>
            </w:tcMar>
          </w:tcPr>
          <w:p>
            <w:pPr>
              <w:spacing w:after="0"/>
            </w:pPr>
            <w:r>
              <w:rPr>
                <w:rFonts w:ascii="Calibri" w:hAnsi="Calibri"/>
                <w:sz w:val="18"/>
              </w:rPr>
              <w:t>Solução 3 - Somente MPLS/rede privada sem links de Internet centralizados</w:t>
            </w:r>
          </w:p>
        </w:tc>
        <w:tc>
          <w:tcPr>
            <w:tcW w:type="dxa" w:w="3120"/>
            <w:vAlign w:val="center"/>
            <w:tcMar>
              <w:top w:w="80" w:type="dxa"/>
              <w:start w:w="120" w:type="dxa"/>
              <w:bottom w:w="80" w:type="dxa"/>
              <w:end w:w="120" w:type="dxa"/>
            </w:tcMar>
          </w:tcPr>
          <w:p>
            <w:pPr>
              <w:spacing w:after="0"/>
            </w:pPr>
            <w:r>
              <w:rPr>
                <w:rFonts w:ascii="Calibri" w:hAnsi="Calibri"/>
                <w:sz w:val="18"/>
              </w:rPr>
              <w:t>Contratar apenas a camada privada e depender de saídas de Internet apartadas.</w:t>
            </w:r>
          </w:p>
        </w:tc>
        <w:tc>
          <w:tcPr>
            <w:tcW w:type="dxa" w:w="3120"/>
            <w:vAlign w:val="center"/>
            <w:tcMar>
              <w:top w:w="80" w:type="dxa"/>
              <w:start w:w="120" w:type="dxa"/>
              <w:bottom w:w="80" w:type="dxa"/>
              <w:end w:w="120" w:type="dxa"/>
            </w:tcMar>
          </w:tcPr>
          <w:p>
            <w:pPr>
              <w:spacing w:after="0"/>
            </w:pPr>
            <w:r>
              <w:rPr>
                <w:rFonts w:ascii="Calibri" w:hAnsi="Calibri"/>
                <w:sz w:val="18"/>
              </w:rPr>
              <w:t>Não atende ao requisito técnico de Internet centralizada em pontos redundantes e protegidos por Anti-DDoS.</w:t>
            </w:r>
          </w:p>
        </w:tc>
      </w:tr>
      <w:tr>
        <w:tc>
          <w:tcPr>
            <w:tcW w:type="dxa" w:w="3120"/>
            <w:vAlign w:val="center"/>
            <w:tcMar>
              <w:top w:w="80" w:type="dxa"/>
              <w:start w:w="120" w:type="dxa"/>
              <w:bottom w:w="80" w:type="dxa"/>
              <w:end w:w="120" w:type="dxa"/>
            </w:tcMar>
          </w:tcPr>
          <w:p>
            <w:pPr>
              <w:spacing w:after="0"/>
            </w:pPr>
            <w:r>
              <w:rPr>
                <w:rFonts w:ascii="Calibri" w:hAnsi="Calibri"/>
                <w:sz w:val="18"/>
              </w:rPr>
              <w:t>Solução 4 - Links satelitais como meio principal</w:t>
            </w:r>
          </w:p>
        </w:tc>
        <w:tc>
          <w:tcPr>
            <w:tcW w:type="dxa" w:w="3120"/>
            <w:vAlign w:val="center"/>
            <w:tcMar>
              <w:top w:w="80" w:type="dxa"/>
              <w:start w:w="120" w:type="dxa"/>
              <w:bottom w:w="80" w:type="dxa"/>
              <w:end w:w="120" w:type="dxa"/>
            </w:tcMar>
          </w:tcPr>
          <w:p>
            <w:pPr>
              <w:spacing w:after="0"/>
            </w:pPr>
            <w:r>
              <w:rPr>
                <w:rFonts w:ascii="Calibri" w:hAnsi="Calibri"/>
                <w:sz w:val="18"/>
              </w:rPr>
              <w:t>Substituir a malha terrestre por enlaces satelitais.</w:t>
            </w:r>
          </w:p>
        </w:tc>
        <w:tc>
          <w:tcPr>
            <w:tcW w:type="dxa" w:w="3120"/>
            <w:vAlign w:val="center"/>
            <w:tcMar>
              <w:top w:w="80" w:type="dxa"/>
              <w:start w:w="120" w:type="dxa"/>
              <w:bottom w:w="80" w:type="dxa"/>
              <w:end w:w="120" w:type="dxa"/>
            </w:tcMar>
          </w:tcPr>
          <w:p>
            <w:pPr>
              <w:spacing w:after="0"/>
            </w:pPr>
            <w:r>
              <w:rPr>
                <w:rFonts w:ascii="Calibri" w:hAnsi="Calibri"/>
                <w:sz w:val="18"/>
              </w:rPr>
              <w:t>Pode apoiar contingência extrema, mas não é solução principal adequada por latência, variabilidade e custo por Mbps para tráfego crítico.</w:t>
            </w:r>
          </w:p>
        </w:tc>
      </w:tr>
    </w:tbl>
    <w:p/>
    <w:p>
      <w:r>
        <w:t>A Solução 1 fica indicada como solução preferencial, porque resolve simultaneamente a interconexão privada das unidades, a redundância entre camadas, a replicação Sede-Foro e a centralização segura do acesso à Internet.</w:t>
      </w:r>
    </w:p>
    <w:p>
      <w:pPr>
        <w:pStyle w:val="Heading2"/>
      </w:pPr>
      <w:r>
        <w:t>2.2 A necessidade de contratação decorre de exigência legal?</w:t>
      </w:r>
    </w:p>
    <w:p>
      <w:r>
        <w:t>Não há exigência legal específica para contratar MPLS, link dedicado de 25 Gbps ou Internet dedicada como tecnologias determinadas. A necessidade decorre da obrigação administrativa de assegurar continuidade, disponibilidade, segurança e desempenho dos serviços de TIC que suportam a atividade jurisdicional e administrativa.</w:t>
      </w:r>
    </w:p>
    <w:p>
      <w:r>
        <w:t>A demanda se relaciona com a Lei nº 14.133/2021, especialmente quanto ao planejamento da contratação, ETP e Termo de Referência, e com a ENTIC-JUD 2021-2026, instituída pela Resolução CNJ nº 370/2021, que orienta a governança de TIC do Poder Judiciário e a disponibilidade dos serviços digitais.</w:t>
      </w:r>
    </w:p>
    <w:p>
      <w:pPr>
        <w:pStyle w:val="Heading2"/>
      </w:pPr>
      <w:r>
        <w:t>2.3 Quais unidades serão beneficiadas?</w:t>
      </w:r>
    </w:p>
    <w:p>
      <w:r>
        <w:t>Serão beneficiadas todas as unidades do TRT10 atendidas pela rede institucional:</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Item</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Unidade / Localidade</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Endereço</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Município</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UF</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CEP</w:t>
            </w:r>
          </w:p>
        </w:tc>
      </w:tr>
      <w:tr>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Edifício Sede</w:t>
            </w:r>
          </w:p>
        </w:tc>
        <w:tc>
          <w:tcPr>
            <w:tcW w:type="dxa" w:w="1560"/>
            <w:vAlign w:val="center"/>
            <w:tcMar>
              <w:top w:w="80" w:type="dxa"/>
              <w:start w:w="120" w:type="dxa"/>
              <w:bottom w:w="80" w:type="dxa"/>
              <w:end w:w="120" w:type="dxa"/>
            </w:tcMar>
          </w:tcPr>
          <w:p>
            <w:pPr>
              <w:spacing w:after="0"/>
            </w:pPr>
            <w:r>
              <w:rPr>
                <w:rFonts w:ascii="Calibri" w:hAnsi="Calibri"/>
                <w:sz w:val="18"/>
              </w:rPr>
              <w:t>SAS Quadra 1, Bloco D, Praça dos Tribunais Superiores</w:t>
            </w:r>
          </w:p>
        </w:tc>
        <w:tc>
          <w:tcPr>
            <w:tcW w:type="dxa" w:w="1560"/>
            <w:vAlign w:val="center"/>
            <w:tcMar>
              <w:top w:w="80" w:type="dxa"/>
              <w:start w:w="120" w:type="dxa"/>
              <w:bottom w:w="80" w:type="dxa"/>
              <w:end w:w="120" w:type="dxa"/>
            </w:tcMar>
          </w:tcPr>
          <w:p>
            <w:pPr>
              <w:spacing w:after="0"/>
            </w:pPr>
            <w:r>
              <w:rPr>
                <w:rFonts w:ascii="Calibri" w:hAnsi="Calibri"/>
                <w:sz w:val="18"/>
              </w:rPr>
              <w:t>Brasília</w:t>
            </w:r>
          </w:p>
        </w:tc>
        <w:tc>
          <w:tcPr>
            <w:tcW w:type="dxa" w:w="1560"/>
            <w:vAlign w:val="center"/>
            <w:tcMar>
              <w:top w:w="80" w:type="dxa"/>
              <w:start w:w="120" w:type="dxa"/>
              <w:bottom w:w="80" w:type="dxa"/>
              <w:end w:w="120" w:type="dxa"/>
            </w:tcMar>
          </w:tcPr>
          <w:p>
            <w:pPr>
              <w:spacing w:after="0"/>
            </w:pPr>
            <w:r>
              <w:rPr>
                <w:rFonts w:ascii="Calibri" w:hAnsi="Calibri"/>
                <w:sz w:val="18"/>
              </w:rPr>
              <w:t>DF</w:t>
            </w:r>
          </w:p>
        </w:tc>
        <w:tc>
          <w:tcPr>
            <w:tcW w:type="dxa" w:w="1560"/>
            <w:vAlign w:val="center"/>
            <w:tcMar>
              <w:top w:w="80" w:type="dxa"/>
              <w:start w:w="120" w:type="dxa"/>
              <w:bottom w:w="80" w:type="dxa"/>
              <w:end w:w="120" w:type="dxa"/>
            </w:tcMar>
          </w:tcPr>
          <w:p>
            <w:pPr>
              <w:spacing w:after="0"/>
            </w:pPr>
            <w:r>
              <w:rPr>
                <w:rFonts w:ascii="Calibri" w:hAnsi="Calibri"/>
                <w:sz w:val="18"/>
              </w:rPr>
              <w:t>70.097-900</w:t>
            </w:r>
          </w:p>
        </w:tc>
      </w:tr>
      <w:tr>
        <w:tc>
          <w:tcPr>
            <w:tcW w:type="dxa" w:w="1560"/>
            <w:vAlign w:val="center"/>
            <w:tcMar>
              <w:top w:w="80" w:type="dxa"/>
              <w:start w:w="120" w:type="dxa"/>
              <w:bottom w:w="80" w:type="dxa"/>
              <w:end w:w="120" w:type="dxa"/>
            </w:tcMar>
          </w:tcPr>
          <w:p>
            <w:pPr>
              <w:spacing w:after="0"/>
            </w:pPr>
            <w:r>
              <w:rPr>
                <w:rFonts w:ascii="Calibri" w:hAnsi="Calibri"/>
                <w:sz w:val="18"/>
              </w:rPr>
              <w:t>2</w:t>
            </w:r>
          </w:p>
        </w:tc>
        <w:tc>
          <w:tcPr>
            <w:tcW w:type="dxa" w:w="1560"/>
            <w:vAlign w:val="center"/>
            <w:tcMar>
              <w:top w:w="80" w:type="dxa"/>
              <w:start w:w="120" w:type="dxa"/>
              <w:bottom w:w="80" w:type="dxa"/>
              <w:end w:w="120" w:type="dxa"/>
            </w:tcMar>
          </w:tcPr>
          <w:p>
            <w:pPr>
              <w:spacing w:after="0"/>
            </w:pPr>
            <w:r>
              <w:rPr>
                <w:rFonts w:ascii="Calibri" w:hAnsi="Calibri"/>
                <w:sz w:val="18"/>
              </w:rPr>
              <w:t>Foro de Brasília</w:t>
            </w:r>
          </w:p>
        </w:tc>
        <w:tc>
          <w:tcPr>
            <w:tcW w:type="dxa" w:w="1560"/>
            <w:vAlign w:val="center"/>
            <w:tcMar>
              <w:top w:w="80" w:type="dxa"/>
              <w:start w:w="120" w:type="dxa"/>
              <w:bottom w:w="80" w:type="dxa"/>
              <w:end w:w="120" w:type="dxa"/>
            </w:tcMar>
          </w:tcPr>
          <w:p>
            <w:pPr>
              <w:spacing w:after="0"/>
            </w:pPr>
            <w:r>
              <w:rPr>
                <w:rFonts w:ascii="Calibri" w:hAnsi="Calibri"/>
                <w:sz w:val="18"/>
              </w:rPr>
              <w:t>SEPN 513, Bloco B, Lotes 2/3</w:t>
            </w:r>
          </w:p>
        </w:tc>
        <w:tc>
          <w:tcPr>
            <w:tcW w:type="dxa" w:w="1560"/>
            <w:vAlign w:val="center"/>
            <w:tcMar>
              <w:top w:w="80" w:type="dxa"/>
              <w:start w:w="120" w:type="dxa"/>
              <w:bottom w:w="80" w:type="dxa"/>
              <w:end w:w="120" w:type="dxa"/>
            </w:tcMar>
          </w:tcPr>
          <w:p>
            <w:pPr>
              <w:spacing w:after="0"/>
            </w:pPr>
            <w:r>
              <w:rPr>
                <w:rFonts w:ascii="Calibri" w:hAnsi="Calibri"/>
                <w:sz w:val="18"/>
              </w:rPr>
              <w:t>Brasília</w:t>
            </w:r>
          </w:p>
        </w:tc>
        <w:tc>
          <w:tcPr>
            <w:tcW w:type="dxa" w:w="1560"/>
            <w:vAlign w:val="center"/>
            <w:tcMar>
              <w:top w:w="80" w:type="dxa"/>
              <w:start w:w="120" w:type="dxa"/>
              <w:bottom w:w="80" w:type="dxa"/>
              <w:end w:w="120" w:type="dxa"/>
            </w:tcMar>
          </w:tcPr>
          <w:p>
            <w:pPr>
              <w:spacing w:after="0"/>
            </w:pPr>
            <w:r>
              <w:rPr>
                <w:rFonts w:ascii="Calibri" w:hAnsi="Calibri"/>
                <w:sz w:val="18"/>
              </w:rPr>
              <w:t>DF</w:t>
            </w:r>
          </w:p>
        </w:tc>
        <w:tc>
          <w:tcPr>
            <w:tcW w:type="dxa" w:w="1560"/>
            <w:vAlign w:val="center"/>
            <w:tcMar>
              <w:top w:w="80" w:type="dxa"/>
              <w:start w:w="120" w:type="dxa"/>
              <w:bottom w:w="80" w:type="dxa"/>
              <w:end w:w="120" w:type="dxa"/>
            </w:tcMar>
          </w:tcPr>
          <w:p>
            <w:pPr>
              <w:spacing w:after="0"/>
            </w:pPr>
            <w:r>
              <w:rPr>
                <w:rFonts w:ascii="Calibri" w:hAnsi="Calibri"/>
                <w:sz w:val="18"/>
              </w:rPr>
              <w:t>70.760-522</w:t>
            </w:r>
          </w:p>
        </w:tc>
      </w:tr>
      <w:tr>
        <w:tc>
          <w:tcPr>
            <w:tcW w:type="dxa" w:w="1560"/>
            <w:vAlign w:val="center"/>
            <w:tcMar>
              <w:top w:w="80" w:type="dxa"/>
              <w:start w:w="120" w:type="dxa"/>
              <w:bottom w:w="80" w:type="dxa"/>
              <w:end w:w="120" w:type="dxa"/>
            </w:tcMar>
          </w:tcPr>
          <w:p>
            <w:pPr>
              <w:spacing w:after="0"/>
            </w:pPr>
            <w:r>
              <w:rPr>
                <w:rFonts w:ascii="Calibri" w:hAnsi="Calibri"/>
                <w:sz w:val="18"/>
              </w:rPr>
              <w:t>3</w:t>
            </w:r>
          </w:p>
        </w:tc>
        <w:tc>
          <w:tcPr>
            <w:tcW w:type="dxa" w:w="1560"/>
            <w:vAlign w:val="center"/>
            <w:tcMar>
              <w:top w:w="80" w:type="dxa"/>
              <w:start w:w="120" w:type="dxa"/>
              <w:bottom w:w="80" w:type="dxa"/>
              <w:end w:w="120" w:type="dxa"/>
            </w:tcMar>
          </w:tcPr>
          <w:p>
            <w:pPr>
              <w:spacing w:after="0"/>
            </w:pPr>
            <w:r>
              <w:rPr>
                <w:rFonts w:ascii="Calibri" w:hAnsi="Calibri"/>
                <w:sz w:val="18"/>
              </w:rPr>
              <w:t>Foro de Taguatinga</w:t>
            </w:r>
          </w:p>
        </w:tc>
        <w:tc>
          <w:tcPr>
            <w:tcW w:type="dxa" w:w="1560"/>
            <w:vAlign w:val="center"/>
            <w:tcMar>
              <w:top w:w="80" w:type="dxa"/>
              <w:start w:w="120" w:type="dxa"/>
              <w:bottom w:w="80" w:type="dxa"/>
              <w:end w:w="120" w:type="dxa"/>
            </w:tcMar>
          </w:tcPr>
          <w:p>
            <w:pPr>
              <w:spacing w:after="0"/>
            </w:pPr>
            <w:r>
              <w:rPr>
                <w:rFonts w:ascii="Calibri" w:hAnsi="Calibri"/>
                <w:sz w:val="18"/>
              </w:rPr>
              <w:t>Quadra C12, Bloco O, Lotes 1 a 5 e 8 a 12</w:t>
            </w:r>
          </w:p>
        </w:tc>
        <w:tc>
          <w:tcPr>
            <w:tcW w:type="dxa" w:w="1560"/>
            <w:vAlign w:val="center"/>
            <w:tcMar>
              <w:top w:w="80" w:type="dxa"/>
              <w:start w:w="120" w:type="dxa"/>
              <w:bottom w:w="80" w:type="dxa"/>
              <w:end w:w="120" w:type="dxa"/>
            </w:tcMar>
          </w:tcPr>
          <w:p>
            <w:pPr>
              <w:spacing w:after="0"/>
            </w:pPr>
            <w:r>
              <w:rPr>
                <w:rFonts w:ascii="Calibri" w:hAnsi="Calibri"/>
                <w:sz w:val="18"/>
              </w:rPr>
              <w:t>Taguatinga</w:t>
            </w:r>
          </w:p>
        </w:tc>
        <w:tc>
          <w:tcPr>
            <w:tcW w:type="dxa" w:w="1560"/>
            <w:vAlign w:val="center"/>
            <w:tcMar>
              <w:top w:w="80" w:type="dxa"/>
              <w:start w:w="120" w:type="dxa"/>
              <w:bottom w:w="80" w:type="dxa"/>
              <w:end w:w="120" w:type="dxa"/>
            </w:tcMar>
          </w:tcPr>
          <w:p>
            <w:pPr>
              <w:spacing w:after="0"/>
            </w:pPr>
            <w:r>
              <w:rPr>
                <w:rFonts w:ascii="Calibri" w:hAnsi="Calibri"/>
                <w:sz w:val="18"/>
              </w:rPr>
              <w:t>DF</w:t>
            </w:r>
          </w:p>
        </w:tc>
        <w:tc>
          <w:tcPr>
            <w:tcW w:type="dxa" w:w="1560"/>
            <w:vAlign w:val="center"/>
            <w:tcMar>
              <w:top w:w="80" w:type="dxa"/>
              <w:start w:w="120" w:type="dxa"/>
              <w:bottom w:w="80" w:type="dxa"/>
              <w:end w:w="120" w:type="dxa"/>
            </w:tcMar>
          </w:tcPr>
          <w:p>
            <w:pPr>
              <w:spacing w:after="0"/>
            </w:pPr>
            <w:r>
              <w:rPr>
                <w:rFonts w:ascii="Calibri" w:hAnsi="Calibri"/>
                <w:sz w:val="18"/>
              </w:rPr>
              <w:t>72.010-120</w:t>
            </w:r>
          </w:p>
        </w:tc>
      </w:tr>
      <w:tr>
        <w:tc>
          <w:tcPr>
            <w:tcW w:type="dxa" w:w="1560"/>
            <w:vAlign w:val="center"/>
            <w:tcMar>
              <w:top w:w="80" w:type="dxa"/>
              <w:start w:w="120" w:type="dxa"/>
              <w:bottom w:w="80" w:type="dxa"/>
              <w:end w:w="120" w:type="dxa"/>
            </w:tcMar>
          </w:tcPr>
          <w:p>
            <w:pPr>
              <w:spacing w:after="0"/>
            </w:pPr>
            <w:r>
              <w:rPr>
                <w:rFonts w:ascii="Calibri" w:hAnsi="Calibri"/>
                <w:sz w:val="18"/>
              </w:rPr>
              <w:t>4</w:t>
            </w:r>
          </w:p>
        </w:tc>
        <w:tc>
          <w:tcPr>
            <w:tcW w:type="dxa" w:w="1560"/>
            <w:vAlign w:val="center"/>
            <w:tcMar>
              <w:top w:w="80" w:type="dxa"/>
              <w:start w:w="120" w:type="dxa"/>
              <w:bottom w:w="80" w:type="dxa"/>
              <w:end w:w="120" w:type="dxa"/>
            </w:tcMar>
          </w:tcPr>
          <w:p>
            <w:pPr>
              <w:spacing w:after="0"/>
            </w:pPr>
            <w:r>
              <w:rPr>
                <w:rFonts w:ascii="Calibri" w:hAnsi="Calibri"/>
                <w:sz w:val="18"/>
              </w:rPr>
              <w:t>Vara do Gama</w:t>
            </w:r>
          </w:p>
        </w:tc>
        <w:tc>
          <w:tcPr>
            <w:tcW w:type="dxa" w:w="1560"/>
            <w:vAlign w:val="center"/>
            <w:tcMar>
              <w:top w:w="80" w:type="dxa"/>
              <w:start w:w="120" w:type="dxa"/>
              <w:bottom w:w="80" w:type="dxa"/>
              <w:end w:w="120" w:type="dxa"/>
            </w:tcMar>
          </w:tcPr>
          <w:p>
            <w:pPr>
              <w:spacing w:after="0"/>
            </w:pPr>
            <w:r>
              <w:rPr>
                <w:rFonts w:ascii="Calibri" w:hAnsi="Calibri"/>
                <w:sz w:val="18"/>
              </w:rPr>
              <w:t>Área Especial 01, Praça 02, Lote 06</w:t>
            </w:r>
          </w:p>
        </w:tc>
        <w:tc>
          <w:tcPr>
            <w:tcW w:type="dxa" w:w="1560"/>
            <w:vAlign w:val="center"/>
            <w:tcMar>
              <w:top w:w="80" w:type="dxa"/>
              <w:start w:w="120" w:type="dxa"/>
              <w:bottom w:w="80" w:type="dxa"/>
              <w:end w:w="120" w:type="dxa"/>
            </w:tcMar>
          </w:tcPr>
          <w:p>
            <w:pPr>
              <w:spacing w:after="0"/>
            </w:pPr>
            <w:r>
              <w:rPr>
                <w:rFonts w:ascii="Calibri" w:hAnsi="Calibri"/>
                <w:sz w:val="18"/>
              </w:rPr>
              <w:t>Gama</w:t>
            </w:r>
          </w:p>
        </w:tc>
        <w:tc>
          <w:tcPr>
            <w:tcW w:type="dxa" w:w="1560"/>
            <w:vAlign w:val="center"/>
            <w:tcMar>
              <w:top w:w="80" w:type="dxa"/>
              <w:start w:w="120" w:type="dxa"/>
              <w:bottom w:w="80" w:type="dxa"/>
              <w:end w:w="120" w:type="dxa"/>
            </w:tcMar>
          </w:tcPr>
          <w:p>
            <w:pPr>
              <w:spacing w:after="0"/>
            </w:pPr>
            <w:r>
              <w:rPr>
                <w:rFonts w:ascii="Calibri" w:hAnsi="Calibri"/>
                <w:sz w:val="18"/>
              </w:rPr>
              <w:t>DF</w:t>
            </w:r>
          </w:p>
        </w:tc>
        <w:tc>
          <w:tcPr>
            <w:tcW w:type="dxa" w:w="1560"/>
            <w:vAlign w:val="center"/>
            <w:tcMar>
              <w:top w:w="80" w:type="dxa"/>
              <w:start w:w="120" w:type="dxa"/>
              <w:bottom w:w="80" w:type="dxa"/>
              <w:end w:w="120" w:type="dxa"/>
            </w:tcMar>
          </w:tcPr>
          <w:p>
            <w:pPr>
              <w:spacing w:after="0"/>
            </w:pPr>
            <w:r>
              <w:rPr>
                <w:rFonts w:ascii="Calibri" w:hAnsi="Calibri"/>
                <w:sz w:val="18"/>
              </w:rPr>
              <w:t>72.405-610</w:t>
            </w:r>
          </w:p>
        </w:tc>
      </w:tr>
      <w:tr>
        <w:tc>
          <w:tcPr>
            <w:tcW w:type="dxa" w:w="1560"/>
            <w:vAlign w:val="center"/>
            <w:tcMar>
              <w:top w:w="80" w:type="dxa"/>
              <w:start w:w="120" w:type="dxa"/>
              <w:bottom w:w="80" w:type="dxa"/>
              <w:end w:w="120" w:type="dxa"/>
            </w:tcMar>
          </w:tcPr>
          <w:p>
            <w:pPr>
              <w:spacing w:after="0"/>
            </w:pPr>
            <w:r>
              <w:rPr>
                <w:rFonts w:ascii="Calibri" w:hAnsi="Calibri"/>
                <w:sz w:val="18"/>
              </w:rPr>
              <w:t>5</w:t>
            </w:r>
          </w:p>
        </w:tc>
        <w:tc>
          <w:tcPr>
            <w:tcW w:type="dxa" w:w="1560"/>
            <w:vAlign w:val="center"/>
            <w:tcMar>
              <w:top w:w="80" w:type="dxa"/>
              <w:start w:w="120" w:type="dxa"/>
              <w:bottom w:w="80" w:type="dxa"/>
              <w:end w:w="120" w:type="dxa"/>
            </w:tcMar>
          </w:tcPr>
          <w:p>
            <w:pPr>
              <w:spacing w:after="0"/>
            </w:pPr>
            <w:r>
              <w:rPr>
                <w:rFonts w:ascii="Calibri" w:hAnsi="Calibri"/>
                <w:sz w:val="18"/>
              </w:rPr>
              <w:t>Foro de Araguaína</w:t>
            </w:r>
          </w:p>
        </w:tc>
        <w:tc>
          <w:tcPr>
            <w:tcW w:type="dxa" w:w="1560"/>
            <w:vAlign w:val="center"/>
            <w:tcMar>
              <w:top w:w="80" w:type="dxa"/>
              <w:start w:w="120" w:type="dxa"/>
              <w:bottom w:w="80" w:type="dxa"/>
              <w:end w:w="120" w:type="dxa"/>
            </w:tcMar>
          </w:tcPr>
          <w:p>
            <w:pPr>
              <w:spacing w:after="0"/>
            </w:pPr>
            <w:r>
              <w:rPr>
                <w:rFonts w:ascii="Calibri" w:hAnsi="Calibri"/>
                <w:sz w:val="18"/>
              </w:rPr>
              <w:t>Av. Neief Murad, 1131, Jardim Goiás</w:t>
            </w:r>
          </w:p>
        </w:tc>
        <w:tc>
          <w:tcPr>
            <w:tcW w:type="dxa" w:w="1560"/>
            <w:vAlign w:val="center"/>
            <w:tcMar>
              <w:top w:w="80" w:type="dxa"/>
              <w:start w:w="120" w:type="dxa"/>
              <w:bottom w:w="80" w:type="dxa"/>
              <w:end w:w="120" w:type="dxa"/>
            </w:tcMar>
          </w:tcPr>
          <w:p>
            <w:pPr>
              <w:spacing w:after="0"/>
            </w:pPr>
            <w:r>
              <w:rPr>
                <w:rFonts w:ascii="Calibri" w:hAnsi="Calibri"/>
                <w:sz w:val="18"/>
              </w:rPr>
              <w:t>Araguaína</w:t>
            </w:r>
          </w:p>
        </w:tc>
        <w:tc>
          <w:tcPr>
            <w:tcW w:type="dxa" w:w="1560"/>
            <w:vAlign w:val="center"/>
            <w:tcMar>
              <w:top w:w="80" w:type="dxa"/>
              <w:start w:w="120" w:type="dxa"/>
              <w:bottom w:w="80" w:type="dxa"/>
              <w:end w:w="120" w:type="dxa"/>
            </w:tcMar>
          </w:tcPr>
          <w:p>
            <w:pPr>
              <w:spacing w:after="0"/>
            </w:pPr>
            <w:r>
              <w:rPr>
                <w:rFonts w:ascii="Calibri" w:hAnsi="Calibri"/>
                <w:sz w:val="18"/>
              </w:rPr>
              <w:t>TO</w:t>
            </w:r>
          </w:p>
        </w:tc>
        <w:tc>
          <w:tcPr>
            <w:tcW w:type="dxa" w:w="1560"/>
            <w:vAlign w:val="center"/>
            <w:tcMar>
              <w:top w:w="80" w:type="dxa"/>
              <w:start w:w="120" w:type="dxa"/>
              <w:bottom w:w="80" w:type="dxa"/>
              <w:end w:w="120" w:type="dxa"/>
            </w:tcMar>
          </w:tcPr>
          <w:p>
            <w:pPr>
              <w:spacing w:after="0"/>
            </w:pPr>
            <w:r>
              <w:rPr>
                <w:rFonts w:ascii="Calibri" w:hAnsi="Calibri"/>
                <w:sz w:val="18"/>
              </w:rPr>
              <w:t>77.824-022</w:t>
            </w:r>
          </w:p>
        </w:tc>
      </w:tr>
      <w:tr>
        <w:tc>
          <w:tcPr>
            <w:tcW w:type="dxa" w:w="1560"/>
            <w:vAlign w:val="center"/>
            <w:tcMar>
              <w:top w:w="80" w:type="dxa"/>
              <w:start w:w="120" w:type="dxa"/>
              <w:bottom w:w="80" w:type="dxa"/>
              <w:end w:w="120" w:type="dxa"/>
            </w:tcMar>
          </w:tcPr>
          <w:p>
            <w:pPr>
              <w:spacing w:after="0"/>
            </w:pPr>
            <w:r>
              <w:rPr>
                <w:rFonts w:ascii="Calibri" w:hAnsi="Calibri"/>
                <w:sz w:val="18"/>
              </w:rPr>
              <w:t>6</w:t>
            </w:r>
          </w:p>
        </w:tc>
        <w:tc>
          <w:tcPr>
            <w:tcW w:type="dxa" w:w="1560"/>
            <w:vAlign w:val="center"/>
            <w:tcMar>
              <w:top w:w="80" w:type="dxa"/>
              <w:start w:w="120" w:type="dxa"/>
              <w:bottom w:w="80" w:type="dxa"/>
              <w:end w:w="120" w:type="dxa"/>
            </w:tcMar>
          </w:tcPr>
          <w:p>
            <w:pPr>
              <w:spacing w:after="0"/>
            </w:pPr>
            <w:r>
              <w:rPr>
                <w:rFonts w:ascii="Calibri" w:hAnsi="Calibri"/>
                <w:sz w:val="18"/>
              </w:rPr>
              <w:t>Foro de Palmas</w:t>
            </w:r>
          </w:p>
        </w:tc>
        <w:tc>
          <w:tcPr>
            <w:tcW w:type="dxa" w:w="1560"/>
            <w:vAlign w:val="center"/>
            <w:tcMar>
              <w:top w:w="80" w:type="dxa"/>
              <w:start w:w="120" w:type="dxa"/>
              <w:bottom w:w="80" w:type="dxa"/>
              <w:end w:w="120" w:type="dxa"/>
            </w:tcMar>
          </w:tcPr>
          <w:p>
            <w:pPr>
              <w:spacing w:after="0"/>
            </w:pPr>
            <w:r>
              <w:rPr>
                <w:rFonts w:ascii="Calibri" w:hAnsi="Calibri"/>
                <w:sz w:val="18"/>
              </w:rPr>
              <w:t>Quadra 302 Norte, Conjunto QI 12, Alameda 2, Lote IA</w:t>
            </w:r>
          </w:p>
        </w:tc>
        <w:tc>
          <w:tcPr>
            <w:tcW w:type="dxa" w:w="1560"/>
            <w:vAlign w:val="center"/>
            <w:tcMar>
              <w:top w:w="80" w:type="dxa"/>
              <w:start w:w="120" w:type="dxa"/>
              <w:bottom w:w="80" w:type="dxa"/>
              <w:end w:w="120" w:type="dxa"/>
            </w:tcMar>
          </w:tcPr>
          <w:p>
            <w:pPr>
              <w:spacing w:after="0"/>
            </w:pPr>
            <w:r>
              <w:rPr>
                <w:rFonts w:ascii="Calibri" w:hAnsi="Calibri"/>
                <w:sz w:val="18"/>
              </w:rPr>
              <w:t>Palmas</w:t>
            </w:r>
          </w:p>
        </w:tc>
        <w:tc>
          <w:tcPr>
            <w:tcW w:type="dxa" w:w="1560"/>
            <w:vAlign w:val="center"/>
            <w:tcMar>
              <w:top w:w="80" w:type="dxa"/>
              <w:start w:w="120" w:type="dxa"/>
              <w:bottom w:w="80" w:type="dxa"/>
              <w:end w:w="120" w:type="dxa"/>
            </w:tcMar>
          </w:tcPr>
          <w:p>
            <w:pPr>
              <w:spacing w:after="0"/>
            </w:pPr>
            <w:r>
              <w:rPr>
                <w:rFonts w:ascii="Calibri" w:hAnsi="Calibri"/>
                <w:sz w:val="18"/>
              </w:rPr>
              <w:t>TO</w:t>
            </w:r>
          </w:p>
        </w:tc>
        <w:tc>
          <w:tcPr>
            <w:tcW w:type="dxa" w:w="1560"/>
            <w:vAlign w:val="center"/>
            <w:tcMar>
              <w:top w:w="80" w:type="dxa"/>
              <w:start w:w="120" w:type="dxa"/>
              <w:bottom w:w="80" w:type="dxa"/>
              <w:end w:w="120" w:type="dxa"/>
            </w:tcMar>
          </w:tcPr>
          <w:p>
            <w:pPr>
              <w:spacing w:after="0"/>
            </w:pPr>
            <w:r>
              <w:rPr>
                <w:rFonts w:ascii="Calibri" w:hAnsi="Calibri"/>
                <w:sz w:val="18"/>
              </w:rPr>
              <w:t>77.066-338</w:t>
            </w:r>
          </w:p>
        </w:tc>
      </w:tr>
      <w:tr>
        <w:tc>
          <w:tcPr>
            <w:tcW w:type="dxa" w:w="1560"/>
            <w:vAlign w:val="center"/>
            <w:tcMar>
              <w:top w:w="80" w:type="dxa"/>
              <w:start w:w="120" w:type="dxa"/>
              <w:bottom w:w="80" w:type="dxa"/>
              <w:end w:w="120" w:type="dxa"/>
            </w:tcMar>
          </w:tcPr>
          <w:p>
            <w:pPr>
              <w:spacing w:after="0"/>
            </w:pPr>
            <w:r>
              <w:rPr>
                <w:rFonts w:ascii="Calibri" w:hAnsi="Calibri"/>
                <w:sz w:val="18"/>
              </w:rPr>
              <w:t>7</w:t>
            </w:r>
          </w:p>
        </w:tc>
        <w:tc>
          <w:tcPr>
            <w:tcW w:type="dxa" w:w="1560"/>
            <w:vAlign w:val="center"/>
            <w:tcMar>
              <w:top w:w="80" w:type="dxa"/>
              <w:start w:w="120" w:type="dxa"/>
              <w:bottom w:w="80" w:type="dxa"/>
              <w:end w:w="120" w:type="dxa"/>
            </w:tcMar>
          </w:tcPr>
          <w:p>
            <w:pPr>
              <w:spacing w:after="0"/>
            </w:pPr>
            <w:r>
              <w:rPr>
                <w:rFonts w:ascii="Calibri" w:hAnsi="Calibri"/>
                <w:sz w:val="18"/>
              </w:rPr>
              <w:t>Vara de Gurupi</w:t>
            </w:r>
          </w:p>
        </w:tc>
        <w:tc>
          <w:tcPr>
            <w:tcW w:type="dxa" w:w="1560"/>
            <w:vAlign w:val="center"/>
            <w:tcMar>
              <w:top w:w="80" w:type="dxa"/>
              <w:start w:w="120" w:type="dxa"/>
              <w:bottom w:w="80" w:type="dxa"/>
              <w:end w:w="120" w:type="dxa"/>
            </w:tcMar>
          </w:tcPr>
          <w:p>
            <w:pPr>
              <w:spacing w:after="0"/>
            </w:pPr>
            <w:r>
              <w:rPr>
                <w:rFonts w:ascii="Calibri" w:hAnsi="Calibri"/>
                <w:sz w:val="18"/>
              </w:rPr>
              <w:t>Rua Antônio Lisboa da Cruz, 2031, Centro, Setor Central</w:t>
            </w:r>
          </w:p>
        </w:tc>
        <w:tc>
          <w:tcPr>
            <w:tcW w:type="dxa" w:w="1560"/>
            <w:vAlign w:val="center"/>
            <w:tcMar>
              <w:top w:w="80" w:type="dxa"/>
              <w:start w:w="120" w:type="dxa"/>
              <w:bottom w:w="80" w:type="dxa"/>
              <w:end w:w="120" w:type="dxa"/>
            </w:tcMar>
          </w:tcPr>
          <w:p>
            <w:pPr>
              <w:spacing w:after="0"/>
            </w:pPr>
            <w:r>
              <w:rPr>
                <w:rFonts w:ascii="Calibri" w:hAnsi="Calibri"/>
                <w:sz w:val="18"/>
              </w:rPr>
              <w:t>Gurupi</w:t>
            </w:r>
          </w:p>
        </w:tc>
        <w:tc>
          <w:tcPr>
            <w:tcW w:type="dxa" w:w="1560"/>
            <w:vAlign w:val="center"/>
            <w:tcMar>
              <w:top w:w="80" w:type="dxa"/>
              <w:start w:w="120" w:type="dxa"/>
              <w:bottom w:w="80" w:type="dxa"/>
              <w:end w:w="120" w:type="dxa"/>
            </w:tcMar>
          </w:tcPr>
          <w:p>
            <w:pPr>
              <w:spacing w:after="0"/>
            </w:pPr>
            <w:r>
              <w:rPr>
                <w:rFonts w:ascii="Calibri" w:hAnsi="Calibri"/>
                <w:sz w:val="18"/>
              </w:rPr>
              <w:t>TO</w:t>
            </w:r>
          </w:p>
        </w:tc>
        <w:tc>
          <w:tcPr>
            <w:tcW w:type="dxa" w:w="1560"/>
            <w:vAlign w:val="center"/>
            <w:tcMar>
              <w:top w:w="80" w:type="dxa"/>
              <w:start w:w="120" w:type="dxa"/>
              <w:bottom w:w="80" w:type="dxa"/>
              <w:end w:w="120" w:type="dxa"/>
            </w:tcMar>
          </w:tcPr>
          <w:p>
            <w:pPr>
              <w:spacing w:after="0"/>
            </w:pPr>
            <w:r>
              <w:rPr>
                <w:rFonts w:ascii="Calibri" w:hAnsi="Calibri"/>
                <w:sz w:val="18"/>
              </w:rPr>
              <w:t>77.405-100</w:t>
            </w:r>
          </w:p>
        </w:tc>
      </w:tr>
      <w:tr>
        <w:tc>
          <w:tcPr>
            <w:tcW w:type="dxa" w:w="1560"/>
            <w:vAlign w:val="center"/>
            <w:tcMar>
              <w:top w:w="80" w:type="dxa"/>
              <w:start w:w="120" w:type="dxa"/>
              <w:bottom w:w="80" w:type="dxa"/>
              <w:end w:w="120" w:type="dxa"/>
            </w:tcMar>
          </w:tcPr>
          <w:p>
            <w:pPr>
              <w:spacing w:after="0"/>
            </w:pPr>
            <w:r>
              <w:rPr>
                <w:rFonts w:ascii="Calibri" w:hAnsi="Calibri"/>
                <w:sz w:val="18"/>
              </w:rPr>
              <w:t>8</w:t>
            </w:r>
          </w:p>
        </w:tc>
        <w:tc>
          <w:tcPr>
            <w:tcW w:type="dxa" w:w="1560"/>
            <w:vAlign w:val="center"/>
            <w:tcMar>
              <w:top w:w="80" w:type="dxa"/>
              <w:start w:w="120" w:type="dxa"/>
              <w:bottom w:w="80" w:type="dxa"/>
              <w:end w:w="120" w:type="dxa"/>
            </w:tcMar>
          </w:tcPr>
          <w:p>
            <w:pPr>
              <w:spacing w:after="0"/>
            </w:pPr>
            <w:r>
              <w:rPr>
                <w:rFonts w:ascii="Calibri" w:hAnsi="Calibri"/>
                <w:sz w:val="18"/>
              </w:rPr>
              <w:t>Vara de Dianópolis</w:t>
            </w:r>
          </w:p>
        </w:tc>
        <w:tc>
          <w:tcPr>
            <w:tcW w:type="dxa" w:w="1560"/>
            <w:vAlign w:val="center"/>
            <w:tcMar>
              <w:top w:w="80" w:type="dxa"/>
              <w:start w:w="120" w:type="dxa"/>
              <w:bottom w:w="80" w:type="dxa"/>
              <w:end w:w="120" w:type="dxa"/>
            </w:tcMar>
          </w:tcPr>
          <w:p>
            <w:pPr>
              <w:spacing w:after="0"/>
            </w:pPr>
            <w:r>
              <w:rPr>
                <w:rFonts w:ascii="Calibri" w:hAnsi="Calibri"/>
                <w:sz w:val="18"/>
              </w:rPr>
              <w:t>Avenida Wolney Filho, Qd. 69 A, Setor Novo Horizonte</w:t>
            </w:r>
          </w:p>
        </w:tc>
        <w:tc>
          <w:tcPr>
            <w:tcW w:type="dxa" w:w="1560"/>
            <w:vAlign w:val="center"/>
            <w:tcMar>
              <w:top w:w="80" w:type="dxa"/>
              <w:start w:w="120" w:type="dxa"/>
              <w:bottom w:w="80" w:type="dxa"/>
              <w:end w:w="120" w:type="dxa"/>
            </w:tcMar>
          </w:tcPr>
          <w:p>
            <w:pPr>
              <w:spacing w:after="0"/>
            </w:pPr>
            <w:r>
              <w:rPr>
                <w:rFonts w:ascii="Calibri" w:hAnsi="Calibri"/>
                <w:sz w:val="18"/>
              </w:rPr>
              <w:t>Dianópolis</w:t>
            </w:r>
          </w:p>
        </w:tc>
        <w:tc>
          <w:tcPr>
            <w:tcW w:type="dxa" w:w="1560"/>
            <w:vAlign w:val="center"/>
            <w:tcMar>
              <w:top w:w="80" w:type="dxa"/>
              <w:start w:w="120" w:type="dxa"/>
              <w:bottom w:w="80" w:type="dxa"/>
              <w:end w:w="120" w:type="dxa"/>
            </w:tcMar>
          </w:tcPr>
          <w:p>
            <w:pPr>
              <w:spacing w:after="0"/>
            </w:pPr>
            <w:r>
              <w:rPr>
                <w:rFonts w:ascii="Calibri" w:hAnsi="Calibri"/>
                <w:sz w:val="18"/>
              </w:rPr>
              <w:t>TO</w:t>
            </w:r>
          </w:p>
        </w:tc>
        <w:tc>
          <w:tcPr>
            <w:tcW w:type="dxa" w:w="1560"/>
            <w:vAlign w:val="center"/>
            <w:tcMar>
              <w:top w:w="80" w:type="dxa"/>
              <w:start w:w="120" w:type="dxa"/>
              <w:bottom w:w="80" w:type="dxa"/>
              <w:end w:w="120" w:type="dxa"/>
            </w:tcMar>
          </w:tcPr>
          <w:p>
            <w:pPr>
              <w:spacing w:after="0"/>
            </w:pPr>
            <w:r>
              <w:rPr>
                <w:rFonts w:ascii="Calibri" w:hAnsi="Calibri"/>
                <w:sz w:val="18"/>
              </w:rPr>
              <w:t>77.300-000</w:t>
            </w:r>
          </w:p>
        </w:tc>
      </w:tr>
      <w:tr>
        <w:tc>
          <w:tcPr>
            <w:tcW w:type="dxa" w:w="1560"/>
            <w:vAlign w:val="center"/>
            <w:tcMar>
              <w:top w:w="80" w:type="dxa"/>
              <w:start w:w="120" w:type="dxa"/>
              <w:bottom w:w="80" w:type="dxa"/>
              <w:end w:w="120" w:type="dxa"/>
            </w:tcMar>
          </w:tcPr>
          <w:p>
            <w:pPr>
              <w:spacing w:after="0"/>
            </w:pPr>
            <w:r>
              <w:rPr>
                <w:rFonts w:ascii="Calibri" w:hAnsi="Calibri"/>
                <w:sz w:val="18"/>
              </w:rPr>
              <w:t>9</w:t>
            </w:r>
          </w:p>
        </w:tc>
        <w:tc>
          <w:tcPr>
            <w:tcW w:type="dxa" w:w="1560"/>
            <w:vAlign w:val="center"/>
            <w:tcMar>
              <w:top w:w="80" w:type="dxa"/>
              <w:start w:w="120" w:type="dxa"/>
              <w:bottom w:w="80" w:type="dxa"/>
              <w:end w:w="120" w:type="dxa"/>
            </w:tcMar>
          </w:tcPr>
          <w:p>
            <w:pPr>
              <w:spacing w:after="0"/>
            </w:pPr>
            <w:r>
              <w:rPr>
                <w:rFonts w:ascii="Calibri" w:hAnsi="Calibri"/>
                <w:sz w:val="18"/>
              </w:rPr>
              <w:t>Vara de Guaraí</w:t>
            </w:r>
          </w:p>
        </w:tc>
        <w:tc>
          <w:tcPr>
            <w:tcW w:type="dxa" w:w="1560"/>
            <w:vAlign w:val="center"/>
            <w:tcMar>
              <w:top w:w="80" w:type="dxa"/>
              <w:start w:w="120" w:type="dxa"/>
              <w:bottom w:w="80" w:type="dxa"/>
              <w:end w:w="120" w:type="dxa"/>
            </w:tcMar>
          </w:tcPr>
          <w:p>
            <w:pPr>
              <w:spacing w:after="0"/>
            </w:pPr>
            <w:r>
              <w:rPr>
                <w:rFonts w:ascii="Calibri" w:hAnsi="Calibri"/>
                <w:sz w:val="18"/>
              </w:rPr>
              <w:t>Avenida Araguaia, esquina com Av. Bernardo Sayão, 1360</w:t>
            </w:r>
          </w:p>
        </w:tc>
        <w:tc>
          <w:tcPr>
            <w:tcW w:type="dxa" w:w="1560"/>
            <w:vAlign w:val="center"/>
            <w:tcMar>
              <w:top w:w="80" w:type="dxa"/>
              <w:start w:w="120" w:type="dxa"/>
              <w:bottom w:w="80" w:type="dxa"/>
              <w:end w:w="120" w:type="dxa"/>
            </w:tcMar>
          </w:tcPr>
          <w:p>
            <w:pPr>
              <w:spacing w:after="0"/>
            </w:pPr>
            <w:r>
              <w:rPr>
                <w:rFonts w:ascii="Calibri" w:hAnsi="Calibri"/>
                <w:sz w:val="18"/>
              </w:rPr>
              <w:t>Guaraí</w:t>
            </w:r>
          </w:p>
        </w:tc>
        <w:tc>
          <w:tcPr>
            <w:tcW w:type="dxa" w:w="1560"/>
            <w:vAlign w:val="center"/>
            <w:tcMar>
              <w:top w:w="80" w:type="dxa"/>
              <w:start w:w="120" w:type="dxa"/>
              <w:bottom w:w="80" w:type="dxa"/>
              <w:end w:w="120" w:type="dxa"/>
            </w:tcMar>
          </w:tcPr>
          <w:p>
            <w:pPr>
              <w:spacing w:after="0"/>
            </w:pPr>
            <w:r>
              <w:rPr>
                <w:rFonts w:ascii="Calibri" w:hAnsi="Calibri"/>
                <w:sz w:val="18"/>
              </w:rPr>
              <w:t>TO</w:t>
            </w:r>
          </w:p>
        </w:tc>
        <w:tc>
          <w:tcPr>
            <w:tcW w:type="dxa" w:w="1560"/>
            <w:vAlign w:val="center"/>
            <w:tcMar>
              <w:top w:w="80" w:type="dxa"/>
              <w:start w:w="120" w:type="dxa"/>
              <w:bottom w:w="80" w:type="dxa"/>
              <w:end w:w="120" w:type="dxa"/>
            </w:tcMar>
          </w:tcPr>
          <w:p>
            <w:pPr>
              <w:spacing w:after="0"/>
            </w:pPr>
            <w:r>
              <w:rPr>
                <w:rFonts w:ascii="Calibri" w:hAnsi="Calibri"/>
                <w:sz w:val="18"/>
              </w:rPr>
              <w:t>77.700-000</w:t>
            </w:r>
          </w:p>
        </w:tc>
      </w:tr>
      <w:tr>
        <w:tc>
          <w:tcPr>
            <w:tcW w:type="dxa" w:w="1560"/>
            <w:vAlign w:val="center"/>
            <w:tcMar>
              <w:top w:w="80" w:type="dxa"/>
              <w:start w:w="120" w:type="dxa"/>
              <w:bottom w:w="80" w:type="dxa"/>
              <w:end w:w="120" w:type="dxa"/>
            </w:tcMar>
          </w:tcPr>
          <w:p>
            <w:pPr>
              <w:spacing w:after="0"/>
            </w:pPr>
            <w:r>
              <w:rPr>
                <w:rFonts w:ascii="Calibri" w:hAnsi="Calibri"/>
                <w:sz w:val="18"/>
              </w:rPr>
              <w:t>10</w:t>
            </w:r>
          </w:p>
        </w:tc>
        <w:tc>
          <w:tcPr>
            <w:tcW w:type="dxa" w:w="1560"/>
            <w:vAlign w:val="center"/>
            <w:tcMar>
              <w:top w:w="80" w:type="dxa"/>
              <w:start w:w="120" w:type="dxa"/>
              <w:bottom w:w="80" w:type="dxa"/>
              <w:end w:w="120" w:type="dxa"/>
            </w:tcMar>
          </w:tcPr>
          <w:p>
            <w:pPr>
              <w:spacing w:after="0"/>
            </w:pPr>
            <w:r>
              <w:rPr>
                <w:rFonts w:ascii="Calibri" w:hAnsi="Calibri"/>
                <w:sz w:val="18"/>
              </w:rPr>
              <w:t>Prédio de Apoio</w:t>
            </w:r>
          </w:p>
        </w:tc>
        <w:tc>
          <w:tcPr>
            <w:tcW w:type="dxa" w:w="1560"/>
            <w:vAlign w:val="center"/>
            <w:tcMar>
              <w:top w:w="80" w:type="dxa"/>
              <w:start w:w="120" w:type="dxa"/>
              <w:bottom w:w="80" w:type="dxa"/>
              <w:end w:w="120" w:type="dxa"/>
            </w:tcMar>
          </w:tcPr>
          <w:p>
            <w:pPr>
              <w:spacing w:after="0"/>
            </w:pPr>
            <w:r>
              <w:rPr>
                <w:rFonts w:ascii="Calibri" w:hAnsi="Calibri"/>
                <w:sz w:val="18"/>
              </w:rPr>
              <w:t>SGAN 916 Norte, Lote AI, Asa Norte</w:t>
            </w:r>
          </w:p>
        </w:tc>
        <w:tc>
          <w:tcPr>
            <w:tcW w:type="dxa" w:w="1560"/>
            <w:vAlign w:val="center"/>
            <w:tcMar>
              <w:top w:w="80" w:type="dxa"/>
              <w:start w:w="120" w:type="dxa"/>
              <w:bottom w:w="80" w:type="dxa"/>
              <w:end w:w="120" w:type="dxa"/>
            </w:tcMar>
          </w:tcPr>
          <w:p>
            <w:pPr>
              <w:spacing w:after="0"/>
            </w:pPr>
            <w:r>
              <w:rPr>
                <w:rFonts w:ascii="Calibri" w:hAnsi="Calibri"/>
                <w:sz w:val="18"/>
              </w:rPr>
              <w:t>Brasília</w:t>
            </w:r>
          </w:p>
        </w:tc>
        <w:tc>
          <w:tcPr>
            <w:tcW w:type="dxa" w:w="1560"/>
            <w:vAlign w:val="center"/>
            <w:tcMar>
              <w:top w:w="80" w:type="dxa"/>
              <w:start w:w="120" w:type="dxa"/>
              <w:bottom w:w="80" w:type="dxa"/>
              <w:end w:w="120" w:type="dxa"/>
            </w:tcMar>
          </w:tcPr>
          <w:p>
            <w:pPr>
              <w:spacing w:after="0"/>
            </w:pPr>
            <w:r>
              <w:rPr>
                <w:rFonts w:ascii="Calibri" w:hAnsi="Calibri"/>
                <w:sz w:val="18"/>
              </w:rPr>
              <w:t>DF</w:t>
            </w:r>
          </w:p>
        </w:tc>
        <w:tc>
          <w:tcPr>
            <w:tcW w:type="dxa" w:w="1560"/>
            <w:vAlign w:val="center"/>
            <w:tcMar>
              <w:top w:w="80" w:type="dxa"/>
              <w:start w:w="120" w:type="dxa"/>
              <w:bottom w:w="80" w:type="dxa"/>
              <w:end w:w="120" w:type="dxa"/>
            </w:tcMar>
          </w:tcPr>
          <w:p>
            <w:pPr>
              <w:spacing w:after="0"/>
            </w:pPr>
            <w:r>
              <w:rPr>
                <w:rFonts w:ascii="Calibri" w:hAnsi="Calibri"/>
                <w:sz w:val="18"/>
              </w:rPr>
              <w:t>70.790-160</w:t>
            </w:r>
          </w:p>
        </w:tc>
      </w:tr>
    </w:tbl>
    <w:p/>
    <w:p>
      <w:r>
        <w:t>A Sede será beneficiada como concentrador principal de rede, segurança, egressão à Internet e integração institucional. O Foro de Brasília será beneficiado como unidade de atendimento, ponto de Internet redundante, ambiente de replicação e concentrador contingencial para acesso das unidades.</w:t>
      </w:r>
    </w:p>
    <w:p>
      <w:pPr>
        <w:pStyle w:val="Heading2"/>
      </w:pPr>
      <w:r>
        <w:t>2.4 Consequências do não atendimento da demanda</w:t>
      </w:r>
    </w:p>
    <w:p>
      <w:pPr>
        <w:pStyle w:val="ListBullet"/>
      </w:pPr>
      <w:r>
        <w:t>Permanência de maior dependência de uma única camada de conectividade para tráfego crítico.</w:t>
      </w:r>
    </w:p>
    <w:p>
      <w:pPr>
        <w:pStyle w:val="ListBullet"/>
      </w:pPr>
      <w:r>
        <w:t>Permanência de saídas de Internet dispersas ou insuficientemente padronizadas, com maior superfície de ataque e menor uniformidade de segurança.</w:t>
      </w:r>
    </w:p>
    <w:p>
      <w:pPr>
        <w:pStyle w:val="ListBullet"/>
      </w:pPr>
      <w:r>
        <w:t>Risco de indisponibilidade relevante da Internet institucional caso a Sede sofra falha sem ponto redundante no Foro.</w:t>
      </w:r>
    </w:p>
    <w:p>
      <w:pPr>
        <w:pStyle w:val="ListBullet"/>
      </w:pPr>
      <w:r>
        <w:t>Dificuldade de garantir provedores distintos, Anti-DDoS e endereçamento fixo suficiente nos pontos centrais.</w:t>
      </w:r>
    </w:p>
    <w:p>
      <w:pPr>
        <w:pStyle w:val="ListBullet"/>
      </w:pPr>
      <w:r>
        <w:t>Menor previsibilidade para tráfego crítico, replicação, backup, autenticação, monitoramento e suporte remoto.</w:t>
      </w:r>
    </w:p>
    <w:p>
      <w:pPr>
        <w:pStyle w:val="ListBullet"/>
      </w:pPr>
      <w:r>
        <w:t>Dificuldade de cumprir diretrizes de continuidade, disponibilidade, segurança e governança de TIC.</w:t>
      </w:r>
    </w:p>
    <w:p>
      <w:pPr>
        <w:pStyle w:val="Heading1"/>
      </w:pPr>
      <w:r>
        <w:t>3. Descrição Sucinta do Objeto</w:t>
      </w:r>
    </w:p>
    <w:p>
      <w:pPr>
        <w:pStyle w:val="Heading2"/>
      </w:pPr>
      <w:r>
        <w:t>3.1 Objeto da contratação</w:t>
      </w:r>
    </w:p>
    <w:p>
      <w:r>
        <w:t>Contratação de serviços continuados de telecomunicações e comunicação de dados, incluindo fornecimento, instalação, configuração, equipamentos necessários, monitoramento, suporte técnico, manutenção e garantia de níveis de serviço, composta pelos seguintes blocos:</w:t>
      </w:r>
    </w:p>
    <w:p>
      <w:pPr>
        <w:pStyle w:val="ListBullet"/>
      </w:pPr>
      <w:r>
        <w:t>circuitos MPLS para as 10 localidades do TRT10, com capacidades equivalentes às capacidades SD-WAN vigentes por localidade;</w:t>
      </w:r>
    </w:p>
    <w:p>
      <w:pPr>
        <w:pStyle w:val="ListBullet"/>
      </w:pPr>
      <w:r>
        <w:t>link dedicado ponto-a-ponto de 25 Gbps entre o Edifício Sede e o Foro de Brasília, por fibra óptica, LAN-to-LAN, Metro Ethernet, clear channel, E-Line, E-LAN ou tecnologia equivalente, separado da rede MPLS;</w:t>
      </w:r>
    </w:p>
    <w:p>
      <w:pPr>
        <w:pStyle w:val="ListBullet"/>
      </w:pPr>
      <w:r>
        <w:t>3 links dedicados de Internet de 4 Gbps na Sede, cada um com provedor distinto, Anti-DDoS e 32 IPs fixos;</w:t>
      </w:r>
    </w:p>
    <w:p>
      <w:pPr>
        <w:pStyle w:val="ListBullet"/>
      </w:pPr>
      <w:r>
        <w:t>2 links dedicados de Internet de 2 Gbps no Foro de Brasília, cada um com provedor distinto, Anti-DDoS e 32 IPs fixos.</w:t>
      </w:r>
    </w:p>
    <w:p>
      <w:r>
        <w:t>A contratação deve permitir centralização do acesso à Internet do TRT10, redundância entre Sede e Foro, contingência cruzada entre MPLS e SD-WAN, QoS, segregação lógica, roteamento controlado, monitoramento 24x7, relatórios mensais e glosas por descumprimento de SLA.</w:t>
      </w:r>
    </w:p>
    <w:p>
      <w:pPr>
        <w:pStyle w:val="Heading1"/>
      </w:pPr>
      <w:r>
        <w:t>4. Quantidade a Ser Contratada</w:t>
      </w:r>
    </w:p>
    <w:p>
      <w:pPr>
        <w:pStyle w:val="Heading2"/>
      </w:pPr>
      <w:r>
        <w:t>4.1 Quantidade estimada por ano</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Item</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Localidade</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Capacidade SD-WAN vigente</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Capacidade MPLS requerida</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Quantidade</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Unidade</w:t>
            </w:r>
          </w:p>
        </w:tc>
      </w:tr>
      <w:tr>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Edifício Sede</w:t>
            </w:r>
          </w:p>
        </w:tc>
        <w:tc>
          <w:tcPr>
            <w:tcW w:type="dxa" w:w="1560"/>
            <w:vAlign w:val="center"/>
            <w:tcMar>
              <w:top w:w="80" w:type="dxa"/>
              <w:start w:w="120" w:type="dxa"/>
              <w:bottom w:w="80" w:type="dxa"/>
              <w:end w:w="120" w:type="dxa"/>
            </w:tcMar>
          </w:tcPr>
          <w:p>
            <w:pPr>
              <w:spacing w:after="0"/>
            </w:pPr>
            <w:r>
              <w:rPr>
                <w:rFonts w:ascii="Calibri" w:hAnsi="Calibri"/>
                <w:sz w:val="18"/>
              </w:rPr>
              <w:t>1 Gbps</w:t>
            </w:r>
          </w:p>
        </w:tc>
        <w:tc>
          <w:tcPr>
            <w:tcW w:type="dxa" w:w="1560"/>
            <w:vAlign w:val="center"/>
            <w:tcMar>
              <w:top w:w="80" w:type="dxa"/>
              <w:start w:w="120" w:type="dxa"/>
              <w:bottom w:w="80" w:type="dxa"/>
              <w:end w:w="120" w:type="dxa"/>
            </w:tcMar>
          </w:tcPr>
          <w:p>
            <w:pPr>
              <w:spacing w:after="0"/>
            </w:pPr>
            <w:r>
              <w:rPr>
                <w:rFonts w:ascii="Calibri" w:hAnsi="Calibri"/>
                <w:sz w:val="18"/>
              </w:rPr>
              <w:t>1 Gbps</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mês</w:t>
            </w:r>
          </w:p>
        </w:tc>
      </w:tr>
      <w:tr>
        <w:tc>
          <w:tcPr>
            <w:tcW w:type="dxa" w:w="1560"/>
            <w:vAlign w:val="center"/>
            <w:tcMar>
              <w:top w:w="80" w:type="dxa"/>
              <w:start w:w="120" w:type="dxa"/>
              <w:bottom w:w="80" w:type="dxa"/>
              <w:end w:w="120" w:type="dxa"/>
            </w:tcMar>
          </w:tcPr>
          <w:p>
            <w:pPr>
              <w:spacing w:after="0"/>
            </w:pPr>
            <w:r>
              <w:rPr>
                <w:rFonts w:ascii="Calibri" w:hAnsi="Calibri"/>
                <w:sz w:val="18"/>
              </w:rPr>
              <w:t>2</w:t>
            </w:r>
          </w:p>
        </w:tc>
        <w:tc>
          <w:tcPr>
            <w:tcW w:type="dxa" w:w="1560"/>
            <w:vAlign w:val="center"/>
            <w:tcMar>
              <w:top w:w="80" w:type="dxa"/>
              <w:start w:w="120" w:type="dxa"/>
              <w:bottom w:w="80" w:type="dxa"/>
              <w:end w:w="120" w:type="dxa"/>
            </w:tcMar>
          </w:tcPr>
          <w:p>
            <w:pPr>
              <w:spacing w:after="0"/>
            </w:pPr>
            <w:r>
              <w:rPr>
                <w:rFonts w:ascii="Calibri" w:hAnsi="Calibri"/>
                <w:sz w:val="18"/>
              </w:rPr>
              <w:t>Foro de Brasília</w:t>
            </w:r>
          </w:p>
        </w:tc>
        <w:tc>
          <w:tcPr>
            <w:tcW w:type="dxa" w:w="1560"/>
            <w:vAlign w:val="center"/>
            <w:tcMar>
              <w:top w:w="80" w:type="dxa"/>
              <w:start w:w="120" w:type="dxa"/>
              <w:bottom w:w="80" w:type="dxa"/>
              <w:end w:w="120" w:type="dxa"/>
            </w:tcMar>
          </w:tcPr>
          <w:p>
            <w:pPr>
              <w:spacing w:after="0"/>
            </w:pPr>
            <w:r>
              <w:rPr>
                <w:rFonts w:ascii="Calibri" w:hAnsi="Calibri"/>
                <w:sz w:val="18"/>
              </w:rPr>
              <w:t>1 Gbps</w:t>
            </w:r>
          </w:p>
        </w:tc>
        <w:tc>
          <w:tcPr>
            <w:tcW w:type="dxa" w:w="1560"/>
            <w:vAlign w:val="center"/>
            <w:tcMar>
              <w:top w:w="80" w:type="dxa"/>
              <w:start w:w="120" w:type="dxa"/>
              <w:bottom w:w="80" w:type="dxa"/>
              <w:end w:w="120" w:type="dxa"/>
            </w:tcMar>
          </w:tcPr>
          <w:p>
            <w:pPr>
              <w:spacing w:after="0"/>
            </w:pPr>
            <w:r>
              <w:rPr>
                <w:rFonts w:ascii="Calibri" w:hAnsi="Calibri"/>
                <w:sz w:val="18"/>
              </w:rPr>
              <w:t>1 Gbps</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mês</w:t>
            </w:r>
          </w:p>
        </w:tc>
      </w:tr>
      <w:tr>
        <w:tc>
          <w:tcPr>
            <w:tcW w:type="dxa" w:w="1560"/>
            <w:vAlign w:val="center"/>
            <w:tcMar>
              <w:top w:w="80" w:type="dxa"/>
              <w:start w:w="120" w:type="dxa"/>
              <w:bottom w:w="80" w:type="dxa"/>
              <w:end w:w="120" w:type="dxa"/>
            </w:tcMar>
          </w:tcPr>
          <w:p>
            <w:pPr>
              <w:spacing w:after="0"/>
            </w:pPr>
            <w:r>
              <w:rPr>
                <w:rFonts w:ascii="Calibri" w:hAnsi="Calibri"/>
                <w:sz w:val="18"/>
              </w:rPr>
              <w:t>3</w:t>
            </w:r>
          </w:p>
        </w:tc>
        <w:tc>
          <w:tcPr>
            <w:tcW w:type="dxa" w:w="1560"/>
            <w:vAlign w:val="center"/>
            <w:tcMar>
              <w:top w:w="80" w:type="dxa"/>
              <w:start w:w="120" w:type="dxa"/>
              <w:bottom w:w="80" w:type="dxa"/>
              <w:end w:w="120" w:type="dxa"/>
            </w:tcMar>
          </w:tcPr>
          <w:p>
            <w:pPr>
              <w:spacing w:after="0"/>
            </w:pPr>
            <w:r>
              <w:rPr>
                <w:rFonts w:ascii="Calibri" w:hAnsi="Calibri"/>
                <w:sz w:val="18"/>
              </w:rPr>
              <w:t>Prédio de Apoio</w:t>
            </w:r>
          </w:p>
        </w:tc>
        <w:tc>
          <w:tcPr>
            <w:tcW w:type="dxa" w:w="1560"/>
            <w:vAlign w:val="center"/>
            <w:tcMar>
              <w:top w:w="80" w:type="dxa"/>
              <w:start w:w="120" w:type="dxa"/>
              <w:bottom w:w="80" w:type="dxa"/>
              <w:end w:w="120" w:type="dxa"/>
            </w:tcMar>
          </w:tcPr>
          <w:p>
            <w:pPr>
              <w:spacing w:after="0"/>
            </w:pPr>
            <w:r>
              <w:rPr>
                <w:rFonts w:ascii="Calibri" w:hAnsi="Calibri"/>
                <w:sz w:val="18"/>
              </w:rPr>
              <w:t>500 Mbps</w:t>
            </w:r>
          </w:p>
        </w:tc>
        <w:tc>
          <w:tcPr>
            <w:tcW w:type="dxa" w:w="1560"/>
            <w:vAlign w:val="center"/>
            <w:tcMar>
              <w:top w:w="80" w:type="dxa"/>
              <w:start w:w="120" w:type="dxa"/>
              <w:bottom w:w="80" w:type="dxa"/>
              <w:end w:w="120" w:type="dxa"/>
            </w:tcMar>
          </w:tcPr>
          <w:p>
            <w:pPr>
              <w:spacing w:after="0"/>
            </w:pPr>
            <w:r>
              <w:rPr>
                <w:rFonts w:ascii="Calibri" w:hAnsi="Calibri"/>
                <w:sz w:val="18"/>
              </w:rPr>
              <w:t>500 Mbps</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mês</w:t>
            </w:r>
          </w:p>
        </w:tc>
      </w:tr>
      <w:tr>
        <w:tc>
          <w:tcPr>
            <w:tcW w:type="dxa" w:w="1560"/>
            <w:vAlign w:val="center"/>
            <w:tcMar>
              <w:top w:w="80" w:type="dxa"/>
              <w:start w:w="120" w:type="dxa"/>
              <w:bottom w:w="80" w:type="dxa"/>
              <w:end w:w="120" w:type="dxa"/>
            </w:tcMar>
          </w:tcPr>
          <w:p>
            <w:pPr>
              <w:spacing w:after="0"/>
            </w:pPr>
            <w:r>
              <w:rPr>
                <w:rFonts w:ascii="Calibri" w:hAnsi="Calibri"/>
                <w:sz w:val="18"/>
              </w:rPr>
              <w:t>4</w:t>
            </w:r>
          </w:p>
        </w:tc>
        <w:tc>
          <w:tcPr>
            <w:tcW w:type="dxa" w:w="1560"/>
            <w:vAlign w:val="center"/>
            <w:tcMar>
              <w:top w:w="80" w:type="dxa"/>
              <w:start w:w="120" w:type="dxa"/>
              <w:bottom w:w="80" w:type="dxa"/>
              <w:end w:w="120" w:type="dxa"/>
            </w:tcMar>
          </w:tcPr>
          <w:p>
            <w:pPr>
              <w:spacing w:after="0"/>
            </w:pPr>
            <w:r>
              <w:rPr>
                <w:rFonts w:ascii="Calibri" w:hAnsi="Calibri"/>
                <w:sz w:val="18"/>
              </w:rPr>
              <w:t>Foro de Taguatinga</w:t>
            </w:r>
          </w:p>
        </w:tc>
        <w:tc>
          <w:tcPr>
            <w:tcW w:type="dxa" w:w="1560"/>
            <w:vAlign w:val="center"/>
            <w:tcMar>
              <w:top w:w="80" w:type="dxa"/>
              <w:start w:w="120" w:type="dxa"/>
              <w:bottom w:w="80" w:type="dxa"/>
              <w:end w:w="120" w:type="dxa"/>
            </w:tcMar>
          </w:tcPr>
          <w:p>
            <w:pPr>
              <w:spacing w:after="0"/>
            </w:pPr>
            <w:r>
              <w:rPr>
                <w:rFonts w:ascii="Calibri" w:hAnsi="Calibri"/>
                <w:sz w:val="18"/>
              </w:rPr>
              <w:t>500 Mbps</w:t>
            </w:r>
          </w:p>
        </w:tc>
        <w:tc>
          <w:tcPr>
            <w:tcW w:type="dxa" w:w="1560"/>
            <w:vAlign w:val="center"/>
            <w:tcMar>
              <w:top w:w="80" w:type="dxa"/>
              <w:start w:w="120" w:type="dxa"/>
              <w:bottom w:w="80" w:type="dxa"/>
              <w:end w:w="120" w:type="dxa"/>
            </w:tcMar>
          </w:tcPr>
          <w:p>
            <w:pPr>
              <w:spacing w:after="0"/>
            </w:pPr>
            <w:r>
              <w:rPr>
                <w:rFonts w:ascii="Calibri" w:hAnsi="Calibri"/>
                <w:sz w:val="18"/>
              </w:rPr>
              <w:t>500 Mbps</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mês</w:t>
            </w:r>
          </w:p>
        </w:tc>
      </w:tr>
      <w:tr>
        <w:tc>
          <w:tcPr>
            <w:tcW w:type="dxa" w:w="1560"/>
            <w:vAlign w:val="center"/>
            <w:tcMar>
              <w:top w:w="80" w:type="dxa"/>
              <w:start w:w="120" w:type="dxa"/>
              <w:bottom w:w="80" w:type="dxa"/>
              <w:end w:w="120" w:type="dxa"/>
            </w:tcMar>
          </w:tcPr>
          <w:p>
            <w:pPr>
              <w:spacing w:after="0"/>
            </w:pPr>
            <w:r>
              <w:rPr>
                <w:rFonts w:ascii="Calibri" w:hAnsi="Calibri"/>
                <w:sz w:val="18"/>
              </w:rPr>
              <w:t>5</w:t>
            </w:r>
          </w:p>
        </w:tc>
        <w:tc>
          <w:tcPr>
            <w:tcW w:type="dxa" w:w="1560"/>
            <w:vAlign w:val="center"/>
            <w:tcMar>
              <w:top w:w="80" w:type="dxa"/>
              <w:start w:w="120" w:type="dxa"/>
              <w:bottom w:w="80" w:type="dxa"/>
              <w:end w:w="120" w:type="dxa"/>
            </w:tcMar>
          </w:tcPr>
          <w:p>
            <w:pPr>
              <w:spacing w:after="0"/>
            </w:pPr>
            <w:r>
              <w:rPr>
                <w:rFonts w:ascii="Calibri" w:hAnsi="Calibri"/>
                <w:sz w:val="18"/>
              </w:rPr>
              <w:t>Foro de Palmas</w:t>
            </w:r>
          </w:p>
        </w:tc>
        <w:tc>
          <w:tcPr>
            <w:tcW w:type="dxa" w:w="1560"/>
            <w:vAlign w:val="center"/>
            <w:tcMar>
              <w:top w:w="80" w:type="dxa"/>
              <w:start w:w="120" w:type="dxa"/>
              <w:bottom w:w="80" w:type="dxa"/>
              <w:end w:w="120" w:type="dxa"/>
            </w:tcMar>
          </w:tcPr>
          <w:p>
            <w:pPr>
              <w:spacing w:after="0"/>
            </w:pPr>
            <w:r>
              <w:rPr>
                <w:rFonts w:ascii="Calibri" w:hAnsi="Calibri"/>
                <w:sz w:val="18"/>
              </w:rPr>
              <w:t>500 Mbps</w:t>
            </w:r>
          </w:p>
        </w:tc>
        <w:tc>
          <w:tcPr>
            <w:tcW w:type="dxa" w:w="1560"/>
            <w:vAlign w:val="center"/>
            <w:tcMar>
              <w:top w:w="80" w:type="dxa"/>
              <w:start w:w="120" w:type="dxa"/>
              <w:bottom w:w="80" w:type="dxa"/>
              <w:end w:w="120" w:type="dxa"/>
            </w:tcMar>
          </w:tcPr>
          <w:p>
            <w:pPr>
              <w:spacing w:after="0"/>
            </w:pPr>
            <w:r>
              <w:rPr>
                <w:rFonts w:ascii="Calibri" w:hAnsi="Calibri"/>
                <w:sz w:val="18"/>
              </w:rPr>
              <w:t>500 Mbps</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mês</w:t>
            </w:r>
          </w:p>
        </w:tc>
      </w:tr>
      <w:tr>
        <w:tc>
          <w:tcPr>
            <w:tcW w:type="dxa" w:w="1560"/>
            <w:vAlign w:val="center"/>
            <w:tcMar>
              <w:top w:w="80" w:type="dxa"/>
              <w:start w:w="120" w:type="dxa"/>
              <w:bottom w:w="80" w:type="dxa"/>
              <w:end w:w="120" w:type="dxa"/>
            </w:tcMar>
          </w:tcPr>
          <w:p>
            <w:pPr>
              <w:spacing w:after="0"/>
            </w:pPr>
            <w:r>
              <w:rPr>
                <w:rFonts w:ascii="Calibri" w:hAnsi="Calibri"/>
                <w:sz w:val="18"/>
              </w:rPr>
              <w:t>6</w:t>
            </w:r>
          </w:p>
        </w:tc>
        <w:tc>
          <w:tcPr>
            <w:tcW w:type="dxa" w:w="1560"/>
            <w:vAlign w:val="center"/>
            <w:tcMar>
              <w:top w:w="80" w:type="dxa"/>
              <w:start w:w="120" w:type="dxa"/>
              <w:bottom w:w="80" w:type="dxa"/>
              <w:end w:w="120" w:type="dxa"/>
            </w:tcMar>
          </w:tcPr>
          <w:p>
            <w:pPr>
              <w:spacing w:after="0"/>
            </w:pPr>
            <w:r>
              <w:rPr>
                <w:rFonts w:ascii="Calibri" w:hAnsi="Calibri"/>
                <w:sz w:val="18"/>
              </w:rPr>
              <w:t>Vara do Gama</w:t>
            </w:r>
          </w:p>
        </w:tc>
        <w:tc>
          <w:tcPr>
            <w:tcW w:type="dxa" w:w="1560"/>
            <w:vAlign w:val="center"/>
            <w:tcMar>
              <w:top w:w="80" w:type="dxa"/>
              <w:start w:w="120" w:type="dxa"/>
              <w:bottom w:w="80" w:type="dxa"/>
              <w:end w:w="120" w:type="dxa"/>
            </w:tcMar>
          </w:tcPr>
          <w:p>
            <w:pPr>
              <w:spacing w:after="0"/>
            </w:pPr>
            <w:r>
              <w:rPr>
                <w:rFonts w:ascii="Calibri" w:hAnsi="Calibri"/>
                <w:sz w:val="18"/>
              </w:rPr>
              <w:t>100 Mbps</w:t>
            </w:r>
          </w:p>
        </w:tc>
        <w:tc>
          <w:tcPr>
            <w:tcW w:type="dxa" w:w="1560"/>
            <w:vAlign w:val="center"/>
            <w:tcMar>
              <w:top w:w="80" w:type="dxa"/>
              <w:start w:w="120" w:type="dxa"/>
              <w:bottom w:w="80" w:type="dxa"/>
              <w:end w:w="120" w:type="dxa"/>
            </w:tcMar>
          </w:tcPr>
          <w:p>
            <w:pPr>
              <w:spacing w:after="0"/>
            </w:pPr>
            <w:r>
              <w:rPr>
                <w:rFonts w:ascii="Calibri" w:hAnsi="Calibri"/>
                <w:sz w:val="18"/>
              </w:rPr>
              <w:t>100 Mbps</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mês</w:t>
            </w:r>
          </w:p>
        </w:tc>
      </w:tr>
      <w:tr>
        <w:tc>
          <w:tcPr>
            <w:tcW w:type="dxa" w:w="1560"/>
            <w:vAlign w:val="center"/>
            <w:tcMar>
              <w:top w:w="80" w:type="dxa"/>
              <w:start w:w="120" w:type="dxa"/>
              <w:bottom w:w="80" w:type="dxa"/>
              <w:end w:w="120" w:type="dxa"/>
            </w:tcMar>
          </w:tcPr>
          <w:p>
            <w:pPr>
              <w:spacing w:after="0"/>
            </w:pPr>
            <w:r>
              <w:rPr>
                <w:rFonts w:ascii="Calibri" w:hAnsi="Calibri"/>
                <w:sz w:val="18"/>
              </w:rPr>
              <w:t>7</w:t>
            </w:r>
          </w:p>
        </w:tc>
        <w:tc>
          <w:tcPr>
            <w:tcW w:type="dxa" w:w="1560"/>
            <w:vAlign w:val="center"/>
            <w:tcMar>
              <w:top w:w="80" w:type="dxa"/>
              <w:start w:w="120" w:type="dxa"/>
              <w:bottom w:w="80" w:type="dxa"/>
              <w:end w:w="120" w:type="dxa"/>
            </w:tcMar>
          </w:tcPr>
          <w:p>
            <w:pPr>
              <w:spacing w:after="0"/>
            </w:pPr>
            <w:r>
              <w:rPr>
                <w:rFonts w:ascii="Calibri" w:hAnsi="Calibri"/>
                <w:sz w:val="18"/>
              </w:rPr>
              <w:t>Foro de Araguaína</w:t>
            </w:r>
          </w:p>
        </w:tc>
        <w:tc>
          <w:tcPr>
            <w:tcW w:type="dxa" w:w="1560"/>
            <w:vAlign w:val="center"/>
            <w:tcMar>
              <w:top w:w="80" w:type="dxa"/>
              <w:start w:w="120" w:type="dxa"/>
              <w:bottom w:w="80" w:type="dxa"/>
              <w:end w:w="120" w:type="dxa"/>
            </w:tcMar>
          </w:tcPr>
          <w:p>
            <w:pPr>
              <w:spacing w:after="0"/>
            </w:pPr>
            <w:r>
              <w:rPr>
                <w:rFonts w:ascii="Calibri" w:hAnsi="Calibri"/>
                <w:sz w:val="18"/>
              </w:rPr>
              <w:t>100 Mbps</w:t>
            </w:r>
          </w:p>
        </w:tc>
        <w:tc>
          <w:tcPr>
            <w:tcW w:type="dxa" w:w="1560"/>
            <w:vAlign w:val="center"/>
            <w:tcMar>
              <w:top w:w="80" w:type="dxa"/>
              <w:start w:w="120" w:type="dxa"/>
              <w:bottom w:w="80" w:type="dxa"/>
              <w:end w:w="120" w:type="dxa"/>
            </w:tcMar>
          </w:tcPr>
          <w:p>
            <w:pPr>
              <w:spacing w:after="0"/>
            </w:pPr>
            <w:r>
              <w:rPr>
                <w:rFonts w:ascii="Calibri" w:hAnsi="Calibri"/>
                <w:sz w:val="18"/>
              </w:rPr>
              <w:t>100 Mbps</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mês</w:t>
            </w:r>
          </w:p>
        </w:tc>
      </w:tr>
      <w:tr>
        <w:tc>
          <w:tcPr>
            <w:tcW w:type="dxa" w:w="1560"/>
            <w:vAlign w:val="center"/>
            <w:tcMar>
              <w:top w:w="80" w:type="dxa"/>
              <w:start w:w="120" w:type="dxa"/>
              <w:bottom w:w="80" w:type="dxa"/>
              <w:end w:w="120" w:type="dxa"/>
            </w:tcMar>
          </w:tcPr>
          <w:p>
            <w:pPr>
              <w:spacing w:after="0"/>
            </w:pPr>
            <w:r>
              <w:rPr>
                <w:rFonts w:ascii="Calibri" w:hAnsi="Calibri"/>
                <w:sz w:val="18"/>
              </w:rPr>
              <w:t>8</w:t>
            </w:r>
          </w:p>
        </w:tc>
        <w:tc>
          <w:tcPr>
            <w:tcW w:type="dxa" w:w="1560"/>
            <w:vAlign w:val="center"/>
            <w:tcMar>
              <w:top w:w="80" w:type="dxa"/>
              <w:start w:w="120" w:type="dxa"/>
              <w:bottom w:w="80" w:type="dxa"/>
              <w:end w:w="120" w:type="dxa"/>
            </w:tcMar>
          </w:tcPr>
          <w:p>
            <w:pPr>
              <w:spacing w:after="0"/>
            </w:pPr>
            <w:r>
              <w:rPr>
                <w:rFonts w:ascii="Calibri" w:hAnsi="Calibri"/>
                <w:sz w:val="18"/>
              </w:rPr>
              <w:t>Vara de Gurupi</w:t>
            </w:r>
          </w:p>
        </w:tc>
        <w:tc>
          <w:tcPr>
            <w:tcW w:type="dxa" w:w="1560"/>
            <w:vAlign w:val="center"/>
            <w:tcMar>
              <w:top w:w="80" w:type="dxa"/>
              <w:start w:w="120" w:type="dxa"/>
              <w:bottom w:w="80" w:type="dxa"/>
              <w:end w:w="120" w:type="dxa"/>
            </w:tcMar>
          </w:tcPr>
          <w:p>
            <w:pPr>
              <w:spacing w:after="0"/>
            </w:pPr>
            <w:r>
              <w:rPr>
                <w:rFonts w:ascii="Calibri" w:hAnsi="Calibri"/>
                <w:sz w:val="18"/>
              </w:rPr>
              <w:t>100 Mbps</w:t>
            </w:r>
          </w:p>
        </w:tc>
        <w:tc>
          <w:tcPr>
            <w:tcW w:type="dxa" w:w="1560"/>
            <w:vAlign w:val="center"/>
            <w:tcMar>
              <w:top w:w="80" w:type="dxa"/>
              <w:start w:w="120" w:type="dxa"/>
              <w:bottom w:w="80" w:type="dxa"/>
              <w:end w:w="120" w:type="dxa"/>
            </w:tcMar>
          </w:tcPr>
          <w:p>
            <w:pPr>
              <w:spacing w:after="0"/>
            </w:pPr>
            <w:r>
              <w:rPr>
                <w:rFonts w:ascii="Calibri" w:hAnsi="Calibri"/>
                <w:sz w:val="18"/>
              </w:rPr>
              <w:t>100 Mbps</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mês</w:t>
            </w:r>
          </w:p>
        </w:tc>
      </w:tr>
      <w:tr>
        <w:tc>
          <w:tcPr>
            <w:tcW w:type="dxa" w:w="1560"/>
            <w:vAlign w:val="center"/>
            <w:tcMar>
              <w:top w:w="80" w:type="dxa"/>
              <w:start w:w="120" w:type="dxa"/>
              <w:bottom w:w="80" w:type="dxa"/>
              <w:end w:w="120" w:type="dxa"/>
            </w:tcMar>
          </w:tcPr>
          <w:p>
            <w:pPr>
              <w:spacing w:after="0"/>
            </w:pPr>
            <w:r>
              <w:rPr>
                <w:rFonts w:ascii="Calibri" w:hAnsi="Calibri"/>
                <w:sz w:val="18"/>
              </w:rPr>
              <w:t>9</w:t>
            </w:r>
          </w:p>
        </w:tc>
        <w:tc>
          <w:tcPr>
            <w:tcW w:type="dxa" w:w="1560"/>
            <w:vAlign w:val="center"/>
            <w:tcMar>
              <w:top w:w="80" w:type="dxa"/>
              <w:start w:w="120" w:type="dxa"/>
              <w:bottom w:w="80" w:type="dxa"/>
              <w:end w:w="120" w:type="dxa"/>
            </w:tcMar>
          </w:tcPr>
          <w:p>
            <w:pPr>
              <w:spacing w:after="0"/>
            </w:pPr>
            <w:r>
              <w:rPr>
                <w:rFonts w:ascii="Calibri" w:hAnsi="Calibri"/>
                <w:sz w:val="18"/>
              </w:rPr>
              <w:t>Vara de Dianópolis</w:t>
            </w:r>
          </w:p>
        </w:tc>
        <w:tc>
          <w:tcPr>
            <w:tcW w:type="dxa" w:w="1560"/>
            <w:vAlign w:val="center"/>
            <w:tcMar>
              <w:top w:w="80" w:type="dxa"/>
              <w:start w:w="120" w:type="dxa"/>
              <w:bottom w:w="80" w:type="dxa"/>
              <w:end w:w="120" w:type="dxa"/>
            </w:tcMar>
          </w:tcPr>
          <w:p>
            <w:pPr>
              <w:spacing w:after="0"/>
            </w:pPr>
            <w:r>
              <w:rPr>
                <w:rFonts w:ascii="Calibri" w:hAnsi="Calibri"/>
                <w:sz w:val="18"/>
              </w:rPr>
              <w:t>100 Mbps</w:t>
            </w:r>
          </w:p>
        </w:tc>
        <w:tc>
          <w:tcPr>
            <w:tcW w:type="dxa" w:w="1560"/>
            <w:vAlign w:val="center"/>
            <w:tcMar>
              <w:top w:w="80" w:type="dxa"/>
              <w:start w:w="120" w:type="dxa"/>
              <w:bottom w:w="80" w:type="dxa"/>
              <w:end w:w="120" w:type="dxa"/>
            </w:tcMar>
          </w:tcPr>
          <w:p>
            <w:pPr>
              <w:spacing w:after="0"/>
            </w:pPr>
            <w:r>
              <w:rPr>
                <w:rFonts w:ascii="Calibri" w:hAnsi="Calibri"/>
                <w:sz w:val="18"/>
              </w:rPr>
              <w:t>100 Mbps</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mês</w:t>
            </w:r>
          </w:p>
        </w:tc>
      </w:tr>
      <w:tr>
        <w:tc>
          <w:tcPr>
            <w:tcW w:type="dxa" w:w="1560"/>
            <w:vAlign w:val="center"/>
            <w:tcMar>
              <w:top w:w="80" w:type="dxa"/>
              <w:start w:w="120" w:type="dxa"/>
              <w:bottom w:w="80" w:type="dxa"/>
              <w:end w:w="120" w:type="dxa"/>
            </w:tcMar>
          </w:tcPr>
          <w:p>
            <w:pPr>
              <w:spacing w:after="0"/>
            </w:pPr>
            <w:r>
              <w:rPr>
                <w:rFonts w:ascii="Calibri" w:hAnsi="Calibri"/>
                <w:sz w:val="18"/>
              </w:rPr>
              <w:t>10</w:t>
            </w:r>
          </w:p>
        </w:tc>
        <w:tc>
          <w:tcPr>
            <w:tcW w:type="dxa" w:w="1560"/>
            <w:vAlign w:val="center"/>
            <w:tcMar>
              <w:top w:w="80" w:type="dxa"/>
              <w:start w:w="120" w:type="dxa"/>
              <w:bottom w:w="80" w:type="dxa"/>
              <w:end w:w="120" w:type="dxa"/>
            </w:tcMar>
          </w:tcPr>
          <w:p>
            <w:pPr>
              <w:spacing w:after="0"/>
            </w:pPr>
            <w:r>
              <w:rPr>
                <w:rFonts w:ascii="Calibri" w:hAnsi="Calibri"/>
                <w:sz w:val="18"/>
              </w:rPr>
              <w:t>Vara de Guaraí</w:t>
            </w:r>
          </w:p>
        </w:tc>
        <w:tc>
          <w:tcPr>
            <w:tcW w:type="dxa" w:w="1560"/>
            <w:vAlign w:val="center"/>
            <w:tcMar>
              <w:top w:w="80" w:type="dxa"/>
              <w:start w:w="120" w:type="dxa"/>
              <w:bottom w:w="80" w:type="dxa"/>
              <w:end w:w="120" w:type="dxa"/>
            </w:tcMar>
          </w:tcPr>
          <w:p>
            <w:pPr>
              <w:spacing w:after="0"/>
            </w:pPr>
            <w:r>
              <w:rPr>
                <w:rFonts w:ascii="Calibri" w:hAnsi="Calibri"/>
                <w:sz w:val="18"/>
              </w:rPr>
              <w:t>100 Mbps</w:t>
            </w:r>
          </w:p>
        </w:tc>
        <w:tc>
          <w:tcPr>
            <w:tcW w:type="dxa" w:w="1560"/>
            <w:vAlign w:val="center"/>
            <w:tcMar>
              <w:top w:w="80" w:type="dxa"/>
              <w:start w:w="120" w:type="dxa"/>
              <w:bottom w:w="80" w:type="dxa"/>
              <w:end w:w="120" w:type="dxa"/>
            </w:tcMar>
          </w:tcPr>
          <w:p>
            <w:pPr>
              <w:spacing w:after="0"/>
            </w:pPr>
            <w:r>
              <w:rPr>
                <w:rFonts w:ascii="Calibri" w:hAnsi="Calibri"/>
                <w:sz w:val="18"/>
              </w:rPr>
              <w:t>100 Mbps</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mês</w:t>
            </w:r>
          </w:p>
        </w:tc>
      </w:tr>
    </w:tbl>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Item</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Enlace dedicado</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Tecnologia / função</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Capacidade</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Quantidade</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Unidade</w:t>
            </w:r>
          </w:p>
        </w:tc>
      </w:tr>
      <w:tr>
        <w:tc>
          <w:tcPr>
            <w:tcW w:type="dxa" w:w="1560"/>
            <w:vAlign w:val="center"/>
            <w:tcMar>
              <w:top w:w="80" w:type="dxa"/>
              <w:start w:w="120" w:type="dxa"/>
              <w:bottom w:w="80" w:type="dxa"/>
              <w:end w:w="120" w:type="dxa"/>
            </w:tcMar>
          </w:tcPr>
          <w:p>
            <w:pPr>
              <w:spacing w:after="0"/>
            </w:pPr>
            <w:r>
              <w:rPr>
                <w:rFonts w:ascii="Calibri" w:hAnsi="Calibri"/>
                <w:sz w:val="18"/>
              </w:rPr>
              <w:t>11</w:t>
            </w:r>
          </w:p>
        </w:tc>
        <w:tc>
          <w:tcPr>
            <w:tcW w:type="dxa" w:w="1560"/>
            <w:vAlign w:val="center"/>
            <w:tcMar>
              <w:top w:w="80" w:type="dxa"/>
              <w:start w:w="120" w:type="dxa"/>
              <w:bottom w:w="80" w:type="dxa"/>
              <w:end w:w="120" w:type="dxa"/>
            </w:tcMar>
          </w:tcPr>
          <w:p>
            <w:pPr>
              <w:spacing w:after="0"/>
            </w:pPr>
            <w:r>
              <w:rPr>
                <w:rFonts w:ascii="Calibri" w:hAnsi="Calibri"/>
                <w:sz w:val="18"/>
              </w:rPr>
              <w:t>Sede ↔ Foro de Brasília</w:t>
            </w:r>
          </w:p>
        </w:tc>
        <w:tc>
          <w:tcPr>
            <w:tcW w:type="dxa" w:w="1560"/>
            <w:vAlign w:val="center"/>
            <w:tcMar>
              <w:top w:w="80" w:type="dxa"/>
              <w:start w:w="120" w:type="dxa"/>
              <w:bottom w:w="80" w:type="dxa"/>
              <w:end w:w="120" w:type="dxa"/>
            </w:tcMar>
          </w:tcPr>
          <w:p>
            <w:pPr>
              <w:spacing w:after="0"/>
            </w:pPr>
            <w:r>
              <w:rPr>
                <w:rFonts w:ascii="Calibri" w:hAnsi="Calibri"/>
                <w:sz w:val="18"/>
              </w:rPr>
              <w:t>Link dedicado ponto-a-ponto; replicação, backup e redundância</w:t>
            </w:r>
          </w:p>
        </w:tc>
        <w:tc>
          <w:tcPr>
            <w:tcW w:type="dxa" w:w="1560"/>
            <w:vAlign w:val="center"/>
            <w:tcMar>
              <w:top w:w="80" w:type="dxa"/>
              <w:start w:w="120" w:type="dxa"/>
              <w:bottom w:w="80" w:type="dxa"/>
              <w:end w:w="120" w:type="dxa"/>
            </w:tcMar>
          </w:tcPr>
          <w:p>
            <w:pPr>
              <w:spacing w:after="0"/>
            </w:pPr>
            <w:r>
              <w:rPr>
                <w:rFonts w:ascii="Calibri" w:hAnsi="Calibri"/>
                <w:sz w:val="18"/>
              </w:rPr>
              <w:t>25 Gbps</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mês</w:t>
            </w:r>
          </w:p>
        </w:tc>
      </w:tr>
    </w:tbl>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337"/>
            <w:vAlign w:val="center"/>
            <w:tcMar>
              <w:top w:w="80" w:type="dxa"/>
              <w:start w:w="120" w:type="dxa"/>
              <w:bottom w:w="80" w:type="dxa"/>
              <w:end w:w="120" w:type="dxa"/>
            </w:tcMar>
            <w:shd w:fill="E8EEF5"/>
          </w:tcPr>
          <w:p>
            <w:pPr>
              <w:spacing w:after="0"/>
            </w:pPr>
            <w:r>
              <w:rPr>
                <w:rFonts w:ascii="Calibri" w:hAnsi="Calibri"/>
                <w:b/>
                <w:color w:val="01426A"/>
                <w:sz w:val="18"/>
              </w:rPr>
              <w:t>Item</w:t>
            </w:r>
          </w:p>
        </w:tc>
        <w:tc>
          <w:tcPr>
            <w:tcW w:type="dxa" w:w="1337"/>
            <w:vAlign w:val="center"/>
            <w:tcMar>
              <w:top w:w="80" w:type="dxa"/>
              <w:start w:w="120" w:type="dxa"/>
              <w:bottom w:w="80" w:type="dxa"/>
              <w:end w:w="120" w:type="dxa"/>
            </w:tcMar>
            <w:shd w:fill="E8EEF5"/>
          </w:tcPr>
          <w:p>
            <w:pPr>
              <w:spacing w:after="0"/>
            </w:pPr>
            <w:r>
              <w:rPr>
                <w:rFonts w:ascii="Calibri" w:hAnsi="Calibri"/>
                <w:b/>
                <w:color w:val="01426A"/>
                <w:sz w:val="18"/>
              </w:rPr>
              <w:t>Localidade</w:t>
            </w:r>
          </w:p>
        </w:tc>
        <w:tc>
          <w:tcPr>
            <w:tcW w:type="dxa" w:w="1337"/>
            <w:vAlign w:val="center"/>
            <w:tcMar>
              <w:top w:w="80" w:type="dxa"/>
              <w:start w:w="120" w:type="dxa"/>
              <w:bottom w:w="80" w:type="dxa"/>
              <w:end w:w="120" w:type="dxa"/>
            </w:tcMar>
            <w:shd w:fill="E8EEF5"/>
          </w:tcPr>
          <w:p>
            <w:pPr>
              <w:spacing w:after="0"/>
            </w:pPr>
            <w:r>
              <w:rPr>
                <w:rFonts w:ascii="Calibri" w:hAnsi="Calibri"/>
                <w:b/>
                <w:color w:val="01426A"/>
                <w:sz w:val="18"/>
              </w:rPr>
              <w:t>Serviço</w:t>
            </w:r>
          </w:p>
        </w:tc>
        <w:tc>
          <w:tcPr>
            <w:tcW w:type="dxa" w:w="1337"/>
            <w:vAlign w:val="center"/>
            <w:tcMar>
              <w:top w:w="80" w:type="dxa"/>
              <w:start w:w="120" w:type="dxa"/>
              <w:bottom w:w="80" w:type="dxa"/>
              <w:end w:w="120" w:type="dxa"/>
            </w:tcMar>
            <w:shd w:fill="E8EEF5"/>
          </w:tcPr>
          <w:p>
            <w:pPr>
              <w:spacing w:after="0"/>
            </w:pPr>
            <w:r>
              <w:rPr>
                <w:rFonts w:ascii="Calibri" w:hAnsi="Calibri"/>
                <w:b/>
                <w:color w:val="01426A"/>
                <w:sz w:val="18"/>
              </w:rPr>
              <w:t>Capacidade</w:t>
            </w:r>
          </w:p>
        </w:tc>
        <w:tc>
          <w:tcPr>
            <w:tcW w:type="dxa" w:w="1337"/>
            <w:vAlign w:val="center"/>
            <w:tcMar>
              <w:top w:w="80" w:type="dxa"/>
              <w:start w:w="120" w:type="dxa"/>
              <w:bottom w:w="80" w:type="dxa"/>
              <w:end w:w="120" w:type="dxa"/>
            </w:tcMar>
            <w:shd w:fill="E8EEF5"/>
          </w:tcPr>
          <w:p>
            <w:pPr>
              <w:spacing w:after="0"/>
            </w:pPr>
            <w:r>
              <w:rPr>
                <w:rFonts w:ascii="Calibri" w:hAnsi="Calibri"/>
                <w:b/>
                <w:color w:val="01426A"/>
                <w:sz w:val="18"/>
              </w:rPr>
              <w:t>Requisitos mínimos</w:t>
            </w:r>
          </w:p>
        </w:tc>
        <w:tc>
          <w:tcPr>
            <w:tcW w:type="dxa" w:w="1337"/>
            <w:vAlign w:val="center"/>
            <w:tcMar>
              <w:top w:w="80" w:type="dxa"/>
              <w:start w:w="120" w:type="dxa"/>
              <w:bottom w:w="80" w:type="dxa"/>
              <w:end w:w="120" w:type="dxa"/>
            </w:tcMar>
            <w:shd w:fill="E8EEF5"/>
          </w:tcPr>
          <w:p>
            <w:pPr>
              <w:spacing w:after="0"/>
            </w:pPr>
            <w:r>
              <w:rPr>
                <w:rFonts w:ascii="Calibri" w:hAnsi="Calibri"/>
                <w:b/>
                <w:color w:val="01426A"/>
                <w:sz w:val="18"/>
              </w:rPr>
              <w:t>Quantidade</w:t>
            </w:r>
          </w:p>
        </w:tc>
        <w:tc>
          <w:tcPr>
            <w:tcW w:type="dxa" w:w="1337"/>
            <w:vAlign w:val="center"/>
            <w:tcMar>
              <w:top w:w="80" w:type="dxa"/>
              <w:start w:w="120" w:type="dxa"/>
              <w:bottom w:w="80" w:type="dxa"/>
              <w:end w:w="120" w:type="dxa"/>
            </w:tcMar>
            <w:shd w:fill="E8EEF5"/>
          </w:tcPr>
          <w:p>
            <w:pPr>
              <w:spacing w:after="0"/>
            </w:pPr>
            <w:r>
              <w:rPr>
                <w:rFonts w:ascii="Calibri" w:hAnsi="Calibri"/>
                <w:b/>
                <w:color w:val="01426A"/>
                <w:sz w:val="18"/>
              </w:rPr>
              <w:t>Unidade</w:t>
            </w:r>
          </w:p>
        </w:tc>
      </w:tr>
      <w:tr>
        <w:tc>
          <w:tcPr>
            <w:tcW w:type="dxa" w:w="1337"/>
            <w:vAlign w:val="center"/>
            <w:tcMar>
              <w:top w:w="80" w:type="dxa"/>
              <w:start w:w="120" w:type="dxa"/>
              <w:bottom w:w="80" w:type="dxa"/>
              <w:end w:w="120" w:type="dxa"/>
            </w:tcMar>
          </w:tcPr>
          <w:p>
            <w:pPr>
              <w:spacing w:after="0"/>
            </w:pPr>
            <w:r>
              <w:rPr>
                <w:rFonts w:ascii="Calibri" w:hAnsi="Calibri"/>
                <w:sz w:val="18"/>
              </w:rPr>
              <w:t>12</w:t>
            </w:r>
          </w:p>
        </w:tc>
        <w:tc>
          <w:tcPr>
            <w:tcW w:type="dxa" w:w="1337"/>
            <w:vAlign w:val="center"/>
            <w:tcMar>
              <w:top w:w="80" w:type="dxa"/>
              <w:start w:w="120" w:type="dxa"/>
              <w:bottom w:w="80" w:type="dxa"/>
              <w:end w:w="120" w:type="dxa"/>
            </w:tcMar>
          </w:tcPr>
          <w:p>
            <w:pPr>
              <w:spacing w:after="0"/>
            </w:pPr>
            <w:r>
              <w:rPr>
                <w:rFonts w:ascii="Calibri" w:hAnsi="Calibri"/>
                <w:sz w:val="18"/>
              </w:rPr>
              <w:t>Sede</w:t>
            </w:r>
          </w:p>
        </w:tc>
        <w:tc>
          <w:tcPr>
            <w:tcW w:type="dxa" w:w="1337"/>
            <w:vAlign w:val="center"/>
            <w:tcMar>
              <w:top w:w="80" w:type="dxa"/>
              <w:start w:w="120" w:type="dxa"/>
              <w:bottom w:w="80" w:type="dxa"/>
              <w:end w:w="120" w:type="dxa"/>
            </w:tcMar>
          </w:tcPr>
          <w:p>
            <w:pPr>
              <w:spacing w:after="0"/>
            </w:pPr>
            <w:r>
              <w:rPr>
                <w:rFonts w:ascii="Calibri" w:hAnsi="Calibri"/>
                <w:sz w:val="18"/>
              </w:rPr>
              <w:t>Link dedicado de Internet 1</w:t>
            </w:r>
          </w:p>
        </w:tc>
        <w:tc>
          <w:tcPr>
            <w:tcW w:type="dxa" w:w="1337"/>
            <w:vAlign w:val="center"/>
            <w:tcMar>
              <w:top w:w="80" w:type="dxa"/>
              <w:start w:w="120" w:type="dxa"/>
              <w:bottom w:w="80" w:type="dxa"/>
              <w:end w:w="120" w:type="dxa"/>
            </w:tcMar>
          </w:tcPr>
          <w:p>
            <w:pPr>
              <w:spacing w:after="0"/>
            </w:pPr>
            <w:r>
              <w:rPr>
                <w:rFonts w:ascii="Calibri" w:hAnsi="Calibri"/>
                <w:sz w:val="18"/>
              </w:rPr>
              <w:t>4 Gbps</w:t>
            </w:r>
          </w:p>
        </w:tc>
        <w:tc>
          <w:tcPr>
            <w:tcW w:type="dxa" w:w="1337"/>
            <w:vAlign w:val="center"/>
            <w:tcMar>
              <w:top w:w="80" w:type="dxa"/>
              <w:start w:w="120" w:type="dxa"/>
              <w:bottom w:w="80" w:type="dxa"/>
              <w:end w:w="120" w:type="dxa"/>
            </w:tcMar>
          </w:tcPr>
          <w:p>
            <w:pPr>
              <w:spacing w:after="0"/>
            </w:pPr>
            <w:r>
              <w:rPr>
                <w:rFonts w:ascii="Calibri" w:hAnsi="Calibri"/>
                <w:sz w:val="18"/>
              </w:rPr>
              <w:t>Provedor distinto dos itens 13 e 14; Anti-DDoS; 32 IPs fixos</w:t>
            </w:r>
          </w:p>
        </w:tc>
        <w:tc>
          <w:tcPr>
            <w:tcW w:type="dxa" w:w="1337"/>
            <w:vAlign w:val="center"/>
            <w:tcMar>
              <w:top w:w="80" w:type="dxa"/>
              <w:start w:w="120" w:type="dxa"/>
              <w:bottom w:w="80" w:type="dxa"/>
              <w:end w:w="120" w:type="dxa"/>
            </w:tcMar>
          </w:tcPr>
          <w:p>
            <w:pPr>
              <w:spacing w:after="0"/>
            </w:pPr>
            <w:r>
              <w:rPr>
                <w:rFonts w:ascii="Calibri" w:hAnsi="Calibri"/>
                <w:sz w:val="18"/>
              </w:rPr>
              <w:t>1</w:t>
            </w:r>
          </w:p>
        </w:tc>
        <w:tc>
          <w:tcPr>
            <w:tcW w:type="dxa" w:w="1337"/>
            <w:vAlign w:val="center"/>
            <w:tcMar>
              <w:top w:w="80" w:type="dxa"/>
              <w:start w:w="120" w:type="dxa"/>
              <w:bottom w:w="80" w:type="dxa"/>
              <w:end w:w="120" w:type="dxa"/>
            </w:tcMar>
          </w:tcPr>
          <w:p>
            <w:pPr>
              <w:spacing w:after="0"/>
            </w:pPr>
            <w:r>
              <w:rPr>
                <w:rFonts w:ascii="Calibri" w:hAnsi="Calibri"/>
                <w:sz w:val="18"/>
              </w:rPr>
              <w:t>mês</w:t>
            </w:r>
          </w:p>
        </w:tc>
      </w:tr>
      <w:tr>
        <w:tc>
          <w:tcPr>
            <w:tcW w:type="dxa" w:w="1337"/>
            <w:vAlign w:val="center"/>
            <w:tcMar>
              <w:top w:w="80" w:type="dxa"/>
              <w:start w:w="120" w:type="dxa"/>
              <w:bottom w:w="80" w:type="dxa"/>
              <w:end w:w="120" w:type="dxa"/>
            </w:tcMar>
          </w:tcPr>
          <w:p>
            <w:pPr>
              <w:spacing w:after="0"/>
            </w:pPr>
            <w:r>
              <w:rPr>
                <w:rFonts w:ascii="Calibri" w:hAnsi="Calibri"/>
                <w:sz w:val="18"/>
              </w:rPr>
              <w:t>13</w:t>
            </w:r>
          </w:p>
        </w:tc>
        <w:tc>
          <w:tcPr>
            <w:tcW w:type="dxa" w:w="1337"/>
            <w:vAlign w:val="center"/>
            <w:tcMar>
              <w:top w:w="80" w:type="dxa"/>
              <w:start w:w="120" w:type="dxa"/>
              <w:bottom w:w="80" w:type="dxa"/>
              <w:end w:w="120" w:type="dxa"/>
            </w:tcMar>
          </w:tcPr>
          <w:p>
            <w:pPr>
              <w:spacing w:after="0"/>
            </w:pPr>
            <w:r>
              <w:rPr>
                <w:rFonts w:ascii="Calibri" w:hAnsi="Calibri"/>
                <w:sz w:val="18"/>
              </w:rPr>
              <w:t>Sede</w:t>
            </w:r>
          </w:p>
        </w:tc>
        <w:tc>
          <w:tcPr>
            <w:tcW w:type="dxa" w:w="1337"/>
            <w:vAlign w:val="center"/>
            <w:tcMar>
              <w:top w:w="80" w:type="dxa"/>
              <w:start w:w="120" w:type="dxa"/>
              <w:bottom w:w="80" w:type="dxa"/>
              <w:end w:w="120" w:type="dxa"/>
            </w:tcMar>
          </w:tcPr>
          <w:p>
            <w:pPr>
              <w:spacing w:after="0"/>
            </w:pPr>
            <w:r>
              <w:rPr>
                <w:rFonts w:ascii="Calibri" w:hAnsi="Calibri"/>
                <w:sz w:val="18"/>
              </w:rPr>
              <w:t>Link dedicado de Internet 2</w:t>
            </w:r>
          </w:p>
        </w:tc>
        <w:tc>
          <w:tcPr>
            <w:tcW w:type="dxa" w:w="1337"/>
            <w:vAlign w:val="center"/>
            <w:tcMar>
              <w:top w:w="80" w:type="dxa"/>
              <w:start w:w="120" w:type="dxa"/>
              <w:bottom w:w="80" w:type="dxa"/>
              <w:end w:w="120" w:type="dxa"/>
            </w:tcMar>
          </w:tcPr>
          <w:p>
            <w:pPr>
              <w:spacing w:after="0"/>
            </w:pPr>
            <w:r>
              <w:rPr>
                <w:rFonts w:ascii="Calibri" w:hAnsi="Calibri"/>
                <w:sz w:val="18"/>
              </w:rPr>
              <w:t>4 Gbps</w:t>
            </w:r>
          </w:p>
        </w:tc>
        <w:tc>
          <w:tcPr>
            <w:tcW w:type="dxa" w:w="1337"/>
            <w:vAlign w:val="center"/>
            <w:tcMar>
              <w:top w:w="80" w:type="dxa"/>
              <w:start w:w="120" w:type="dxa"/>
              <w:bottom w:w="80" w:type="dxa"/>
              <w:end w:w="120" w:type="dxa"/>
            </w:tcMar>
          </w:tcPr>
          <w:p>
            <w:pPr>
              <w:spacing w:after="0"/>
            </w:pPr>
            <w:r>
              <w:rPr>
                <w:rFonts w:ascii="Calibri" w:hAnsi="Calibri"/>
                <w:sz w:val="18"/>
              </w:rPr>
              <w:t>Provedor distinto dos itens 12 e 14; Anti-DDoS; 32 IPs fixos</w:t>
            </w:r>
          </w:p>
        </w:tc>
        <w:tc>
          <w:tcPr>
            <w:tcW w:type="dxa" w:w="1337"/>
            <w:vAlign w:val="center"/>
            <w:tcMar>
              <w:top w:w="80" w:type="dxa"/>
              <w:start w:w="120" w:type="dxa"/>
              <w:bottom w:w="80" w:type="dxa"/>
              <w:end w:w="120" w:type="dxa"/>
            </w:tcMar>
          </w:tcPr>
          <w:p>
            <w:pPr>
              <w:spacing w:after="0"/>
            </w:pPr>
            <w:r>
              <w:rPr>
                <w:rFonts w:ascii="Calibri" w:hAnsi="Calibri"/>
                <w:sz w:val="18"/>
              </w:rPr>
              <w:t>1</w:t>
            </w:r>
          </w:p>
        </w:tc>
        <w:tc>
          <w:tcPr>
            <w:tcW w:type="dxa" w:w="1337"/>
            <w:vAlign w:val="center"/>
            <w:tcMar>
              <w:top w:w="80" w:type="dxa"/>
              <w:start w:w="120" w:type="dxa"/>
              <w:bottom w:w="80" w:type="dxa"/>
              <w:end w:w="120" w:type="dxa"/>
            </w:tcMar>
          </w:tcPr>
          <w:p>
            <w:pPr>
              <w:spacing w:after="0"/>
            </w:pPr>
            <w:r>
              <w:rPr>
                <w:rFonts w:ascii="Calibri" w:hAnsi="Calibri"/>
                <w:sz w:val="18"/>
              </w:rPr>
              <w:t>mês</w:t>
            </w:r>
          </w:p>
        </w:tc>
      </w:tr>
      <w:tr>
        <w:tc>
          <w:tcPr>
            <w:tcW w:type="dxa" w:w="1337"/>
            <w:vAlign w:val="center"/>
            <w:tcMar>
              <w:top w:w="80" w:type="dxa"/>
              <w:start w:w="120" w:type="dxa"/>
              <w:bottom w:w="80" w:type="dxa"/>
              <w:end w:w="120" w:type="dxa"/>
            </w:tcMar>
          </w:tcPr>
          <w:p>
            <w:pPr>
              <w:spacing w:after="0"/>
            </w:pPr>
            <w:r>
              <w:rPr>
                <w:rFonts w:ascii="Calibri" w:hAnsi="Calibri"/>
                <w:sz w:val="18"/>
              </w:rPr>
              <w:t>14</w:t>
            </w:r>
          </w:p>
        </w:tc>
        <w:tc>
          <w:tcPr>
            <w:tcW w:type="dxa" w:w="1337"/>
            <w:vAlign w:val="center"/>
            <w:tcMar>
              <w:top w:w="80" w:type="dxa"/>
              <w:start w:w="120" w:type="dxa"/>
              <w:bottom w:w="80" w:type="dxa"/>
              <w:end w:w="120" w:type="dxa"/>
            </w:tcMar>
          </w:tcPr>
          <w:p>
            <w:pPr>
              <w:spacing w:after="0"/>
            </w:pPr>
            <w:r>
              <w:rPr>
                <w:rFonts w:ascii="Calibri" w:hAnsi="Calibri"/>
                <w:sz w:val="18"/>
              </w:rPr>
              <w:t>Sede</w:t>
            </w:r>
          </w:p>
        </w:tc>
        <w:tc>
          <w:tcPr>
            <w:tcW w:type="dxa" w:w="1337"/>
            <w:vAlign w:val="center"/>
            <w:tcMar>
              <w:top w:w="80" w:type="dxa"/>
              <w:start w:w="120" w:type="dxa"/>
              <w:bottom w:w="80" w:type="dxa"/>
              <w:end w:w="120" w:type="dxa"/>
            </w:tcMar>
          </w:tcPr>
          <w:p>
            <w:pPr>
              <w:spacing w:after="0"/>
            </w:pPr>
            <w:r>
              <w:rPr>
                <w:rFonts w:ascii="Calibri" w:hAnsi="Calibri"/>
                <w:sz w:val="18"/>
              </w:rPr>
              <w:t>Link dedicado de Internet 3</w:t>
            </w:r>
          </w:p>
        </w:tc>
        <w:tc>
          <w:tcPr>
            <w:tcW w:type="dxa" w:w="1337"/>
            <w:vAlign w:val="center"/>
            <w:tcMar>
              <w:top w:w="80" w:type="dxa"/>
              <w:start w:w="120" w:type="dxa"/>
              <w:bottom w:w="80" w:type="dxa"/>
              <w:end w:w="120" w:type="dxa"/>
            </w:tcMar>
          </w:tcPr>
          <w:p>
            <w:pPr>
              <w:spacing w:after="0"/>
            </w:pPr>
            <w:r>
              <w:rPr>
                <w:rFonts w:ascii="Calibri" w:hAnsi="Calibri"/>
                <w:sz w:val="18"/>
              </w:rPr>
              <w:t>4 Gbps</w:t>
            </w:r>
          </w:p>
        </w:tc>
        <w:tc>
          <w:tcPr>
            <w:tcW w:type="dxa" w:w="1337"/>
            <w:vAlign w:val="center"/>
            <w:tcMar>
              <w:top w:w="80" w:type="dxa"/>
              <w:start w:w="120" w:type="dxa"/>
              <w:bottom w:w="80" w:type="dxa"/>
              <w:end w:w="120" w:type="dxa"/>
            </w:tcMar>
          </w:tcPr>
          <w:p>
            <w:pPr>
              <w:spacing w:after="0"/>
            </w:pPr>
            <w:r>
              <w:rPr>
                <w:rFonts w:ascii="Calibri" w:hAnsi="Calibri"/>
                <w:sz w:val="18"/>
              </w:rPr>
              <w:t>Provedor distinto dos itens 12 e 13; Anti-DDoS; 32 IPs fixos</w:t>
            </w:r>
          </w:p>
        </w:tc>
        <w:tc>
          <w:tcPr>
            <w:tcW w:type="dxa" w:w="1337"/>
            <w:vAlign w:val="center"/>
            <w:tcMar>
              <w:top w:w="80" w:type="dxa"/>
              <w:start w:w="120" w:type="dxa"/>
              <w:bottom w:w="80" w:type="dxa"/>
              <w:end w:w="120" w:type="dxa"/>
            </w:tcMar>
          </w:tcPr>
          <w:p>
            <w:pPr>
              <w:spacing w:after="0"/>
            </w:pPr>
            <w:r>
              <w:rPr>
                <w:rFonts w:ascii="Calibri" w:hAnsi="Calibri"/>
                <w:sz w:val="18"/>
              </w:rPr>
              <w:t>1</w:t>
            </w:r>
          </w:p>
        </w:tc>
        <w:tc>
          <w:tcPr>
            <w:tcW w:type="dxa" w:w="1337"/>
            <w:vAlign w:val="center"/>
            <w:tcMar>
              <w:top w:w="80" w:type="dxa"/>
              <w:start w:w="120" w:type="dxa"/>
              <w:bottom w:w="80" w:type="dxa"/>
              <w:end w:w="120" w:type="dxa"/>
            </w:tcMar>
          </w:tcPr>
          <w:p>
            <w:pPr>
              <w:spacing w:after="0"/>
            </w:pPr>
            <w:r>
              <w:rPr>
                <w:rFonts w:ascii="Calibri" w:hAnsi="Calibri"/>
                <w:sz w:val="18"/>
              </w:rPr>
              <w:t>mês</w:t>
            </w:r>
          </w:p>
        </w:tc>
      </w:tr>
      <w:tr>
        <w:tc>
          <w:tcPr>
            <w:tcW w:type="dxa" w:w="1337"/>
            <w:vAlign w:val="center"/>
            <w:tcMar>
              <w:top w:w="80" w:type="dxa"/>
              <w:start w:w="120" w:type="dxa"/>
              <w:bottom w:w="80" w:type="dxa"/>
              <w:end w:w="120" w:type="dxa"/>
            </w:tcMar>
          </w:tcPr>
          <w:p>
            <w:pPr>
              <w:spacing w:after="0"/>
            </w:pPr>
            <w:r>
              <w:rPr>
                <w:rFonts w:ascii="Calibri" w:hAnsi="Calibri"/>
                <w:sz w:val="18"/>
              </w:rPr>
              <w:t>15</w:t>
            </w:r>
          </w:p>
        </w:tc>
        <w:tc>
          <w:tcPr>
            <w:tcW w:type="dxa" w:w="1337"/>
            <w:vAlign w:val="center"/>
            <w:tcMar>
              <w:top w:w="80" w:type="dxa"/>
              <w:start w:w="120" w:type="dxa"/>
              <w:bottom w:w="80" w:type="dxa"/>
              <w:end w:w="120" w:type="dxa"/>
            </w:tcMar>
          </w:tcPr>
          <w:p>
            <w:pPr>
              <w:spacing w:after="0"/>
            </w:pPr>
            <w:r>
              <w:rPr>
                <w:rFonts w:ascii="Calibri" w:hAnsi="Calibri"/>
                <w:sz w:val="18"/>
              </w:rPr>
              <w:t>Foro de Brasília</w:t>
            </w:r>
          </w:p>
        </w:tc>
        <w:tc>
          <w:tcPr>
            <w:tcW w:type="dxa" w:w="1337"/>
            <w:vAlign w:val="center"/>
            <w:tcMar>
              <w:top w:w="80" w:type="dxa"/>
              <w:start w:w="120" w:type="dxa"/>
              <w:bottom w:w="80" w:type="dxa"/>
              <w:end w:w="120" w:type="dxa"/>
            </w:tcMar>
          </w:tcPr>
          <w:p>
            <w:pPr>
              <w:spacing w:after="0"/>
            </w:pPr>
            <w:r>
              <w:rPr>
                <w:rFonts w:ascii="Calibri" w:hAnsi="Calibri"/>
                <w:sz w:val="18"/>
              </w:rPr>
              <w:t>Link dedicado de Internet 1</w:t>
            </w:r>
          </w:p>
        </w:tc>
        <w:tc>
          <w:tcPr>
            <w:tcW w:type="dxa" w:w="1337"/>
            <w:vAlign w:val="center"/>
            <w:tcMar>
              <w:top w:w="80" w:type="dxa"/>
              <w:start w:w="120" w:type="dxa"/>
              <w:bottom w:w="80" w:type="dxa"/>
              <w:end w:w="120" w:type="dxa"/>
            </w:tcMar>
          </w:tcPr>
          <w:p>
            <w:pPr>
              <w:spacing w:after="0"/>
            </w:pPr>
            <w:r>
              <w:rPr>
                <w:rFonts w:ascii="Calibri" w:hAnsi="Calibri"/>
                <w:sz w:val="18"/>
              </w:rPr>
              <w:t>2 Gbps</w:t>
            </w:r>
          </w:p>
        </w:tc>
        <w:tc>
          <w:tcPr>
            <w:tcW w:type="dxa" w:w="1337"/>
            <w:vAlign w:val="center"/>
            <w:tcMar>
              <w:top w:w="80" w:type="dxa"/>
              <w:start w:w="120" w:type="dxa"/>
              <w:bottom w:w="80" w:type="dxa"/>
              <w:end w:w="120" w:type="dxa"/>
            </w:tcMar>
          </w:tcPr>
          <w:p>
            <w:pPr>
              <w:spacing w:after="0"/>
            </w:pPr>
            <w:r>
              <w:rPr>
                <w:rFonts w:ascii="Calibri" w:hAnsi="Calibri"/>
                <w:sz w:val="18"/>
              </w:rPr>
              <w:t>Provedor distinto do item 16; Anti-DDoS; 32 IPs fixos</w:t>
            </w:r>
          </w:p>
        </w:tc>
        <w:tc>
          <w:tcPr>
            <w:tcW w:type="dxa" w:w="1337"/>
            <w:vAlign w:val="center"/>
            <w:tcMar>
              <w:top w:w="80" w:type="dxa"/>
              <w:start w:w="120" w:type="dxa"/>
              <w:bottom w:w="80" w:type="dxa"/>
              <w:end w:w="120" w:type="dxa"/>
            </w:tcMar>
          </w:tcPr>
          <w:p>
            <w:pPr>
              <w:spacing w:after="0"/>
            </w:pPr>
            <w:r>
              <w:rPr>
                <w:rFonts w:ascii="Calibri" w:hAnsi="Calibri"/>
                <w:sz w:val="18"/>
              </w:rPr>
              <w:t>1</w:t>
            </w:r>
          </w:p>
        </w:tc>
        <w:tc>
          <w:tcPr>
            <w:tcW w:type="dxa" w:w="1337"/>
            <w:vAlign w:val="center"/>
            <w:tcMar>
              <w:top w:w="80" w:type="dxa"/>
              <w:start w:w="120" w:type="dxa"/>
              <w:bottom w:w="80" w:type="dxa"/>
              <w:end w:w="120" w:type="dxa"/>
            </w:tcMar>
          </w:tcPr>
          <w:p>
            <w:pPr>
              <w:spacing w:after="0"/>
            </w:pPr>
            <w:r>
              <w:rPr>
                <w:rFonts w:ascii="Calibri" w:hAnsi="Calibri"/>
                <w:sz w:val="18"/>
              </w:rPr>
              <w:t>mês</w:t>
            </w:r>
          </w:p>
        </w:tc>
      </w:tr>
      <w:tr>
        <w:tc>
          <w:tcPr>
            <w:tcW w:type="dxa" w:w="1337"/>
            <w:vAlign w:val="center"/>
            <w:tcMar>
              <w:top w:w="80" w:type="dxa"/>
              <w:start w:w="120" w:type="dxa"/>
              <w:bottom w:w="80" w:type="dxa"/>
              <w:end w:w="120" w:type="dxa"/>
            </w:tcMar>
          </w:tcPr>
          <w:p>
            <w:pPr>
              <w:spacing w:after="0"/>
            </w:pPr>
            <w:r>
              <w:rPr>
                <w:rFonts w:ascii="Calibri" w:hAnsi="Calibri"/>
                <w:sz w:val="18"/>
              </w:rPr>
              <w:t>16</w:t>
            </w:r>
          </w:p>
        </w:tc>
        <w:tc>
          <w:tcPr>
            <w:tcW w:type="dxa" w:w="1337"/>
            <w:vAlign w:val="center"/>
            <w:tcMar>
              <w:top w:w="80" w:type="dxa"/>
              <w:start w:w="120" w:type="dxa"/>
              <w:bottom w:w="80" w:type="dxa"/>
              <w:end w:w="120" w:type="dxa"/>
            </w:tcMar>
          </w:tcPr>
          <w:p>
            <w:pPr>
              <w:spacing w:after="0"/>
            </w:pPr>
            <w:r>
              <w:rPr>
                <w:rFonts w:ascii="Calibri" w:hAnsi="Calibri"/>
                <w:sz w:val="18"/>
              </w:rPr>
              <w:t>Foro de Brasília</w:t>
            </w:r>
          </w:p>
        </w:tc>
        <w:tc>
          <w:tcPr>
            <w:tcW w:type="dxa" w:w="1337"/>
            <w:vAlign w:val="center"/>
            <w:tcMar>
              <w:top w:w="80" w:type="dxa"/>
              <w:start w:w="120" w:type="dxa"/>
              <w:bottom w:w="80" w:type="dxa"/>
              <w:end w:w="120" w:type="dxa"/>
            </w:tcMar>
          </w:tcPr>
          <w:p>
            <w:pPr>
              <w:spacing w:after="0"/>
            </w:pPr>
            <w:r>
              <w:rPr>
                <w:rFonts w:ascii="Calibri" w:hAnsi="Calibri"/>
                <w:sz w:val="18"/>
              </w:rPr>
              <w:t>Link dedicado de Internet 2</w:t>
            </w:r>
          </w:p>
        </w:tc>
        <w:tc>
          <w:tcPr>
            <w:tcW w:type="dxa" w:w="1337"/>
            <w:vAlign w:val="center"/>
            <w:tcMar>
              <w:top w:w="80" w:type="dxa"/>
              <w:start w:w="120" w:type="dxa"/>
              <w:bottom w:w="80" w:type="dxa"/>
              <w:end w:w="120" w:type="dxa"/>
            </w:tcMar>
          </w:tcPr>
          <w:p>
            <w:pPr>
              <w:spacing w:after="0"/>
            </w:pPr>
            <w:r>
              <w:rPr>
                <w:rFonts w:ascii="Calibri" w:hAnsi="Calibri"/>
                <w:sz w:val="18"/>
              </w:rPr>
              <w:t>2 Gbps</w:t>
            </w:r>
          </w:p>
        </w:tc>
        <w:tc>
          <w:tcPr>
            <w:tcW w:type="dxa" w:w="1337"/>
            <w:vAlign w:val="center"/>
            <w:tcMar>
              <w:top w:w="80" w:type="dxa"/>
              <w:start w:w="120" w:type="dxa"/>
              <w:bottom w:w="80" w:type="dxa"/>
              <w:end w:w="120" w:type="dxa"/>
            </w:tcMar>
          </w:tcPr>
          <w:p>
            <w:pPr>
              <w:spacing w:after="0"/>
            </w:pPr>
            <w:r>
              <w:rPr>
                <w:rFonts w:ascii="Calibri" w:hAnsi="Calibri"/>
                <w:sz w:val="18"/>
              </w:rPr>
              <w:t>Provedor distinto do item 15; Anti-DDoS; 32 IPs fixos</w:t>
            </w:r>
          </w:p>
        </w:tc>
        <w:tc>
          <w:tcPr>
            <w:tcW w:type="dxa" w:w="1337"/>
            <w:vAlign w:val="center"/>
            <w:tcMar>
              <w:top w:w="80" w:type="dxa"/>
              <w:start w:w="120" w:type="dxa"/>
              <w:bottom w:w="80" w:type="dxa"/>
              <w:end w:w="120" w:type="dxa"/>
            </w:tcMar>
          </w:tcPr>
          <w:p>
            <w:pPr>
              <w:spacing w:after="0"/>
            </w:pPr>
            <w:r>
              <w:rPr>
                <w:rFonts w:ascii="Calibri" w:hAnsi="Calibri"/>
                <w:sz w:val="18"/>
              </w:rPr>
              <w:t>1</w:t>
            </w:r>
          </w:p>
        </w:tc>
        <w:tc>
          <w:tcPr>
            <w:tcW w:type="dxa" w:w="1337"/>
            <w:vAlign w:val="center"/>
            <w:tcMar>
              <w:top w:w="80" w:type="dxa"/>
              <w:start w:w="120" w:type="dxa"/>
              <w:bottom w:w="80" w:type="dxa"/>
              <w:end w:w="120" w:type="dxa"/>
            </w:tcMar>
          </w:tcPr>
          <w:p>
            <w:pPr>
              <w:spacing w:after="0"/>
            </w:pPr>
            <w:r>
              <w:rPr>
                <w:rFonts w:ascii="Calibri" w:hAnsi="Calibri"/>
                <w:sz w:val="18"/>
              </w:rPr>
              <w:t>mês</w:t>
            </w:r>
          </w:p>
        </w:tc>
      </w:tr>
    </w:tbl>
    <w:p/>
    <w:p>
      <w:r>
        <w:t>Para os itens de Internet, a adjudicação deverá impedir que uma mesma empresa, CNPJ, grupo econômico ou provedor operacionalmente dependente seja contratado para mais de um link na mesma localidade. A mesma empresa poderá vencer um item da Sede e um item do Foro, desde que respeitados os requisitos de capacidade, Anti-DDoS, 32 IPs fixos e independência física/lógica exigidos para cada item.</w:t>
      </w:r>
    </w:p>
    <w:p>
      <w:pPr>
        <w:pStyle w:val="Heading2"/>
      </w:pPr>
      <w:r>
        <w:t>4.2 A estimativa é baseada no histórico demandado?</w:t>
      </w:r>
    </w:p>
    <w:p>
      <w:r>
        <w:t>Sim. A estimativa considera o histórico de contratações de comunicação de dados e Internet do TRT10, a topologia SD-WAN vigente, registros de redundância e monitoramento, e a centralização dos acessos de Internet do Tribunal na Sede e no Foro.</w:t>
      </w:r>
    </w:p>
    <w:p>
      <w:pPr>
        <w:pStyle w:val="Heading1"/>
      </w:pPr>
      <w:r>
        <w:t>5. Estimativa Preliminar do Valor da Contratação</w:t>
      </w:r>
    </w:p>
    <w:p>
      <w:pPr>
        <w:pStyle w:val="Heading2"/>
      </w:pPr>
      <w:r>
        <w:t>5.1 Valor estimado da contratação</w:t>
      </w:r>
    </w:p>
    <w:p>
      <w:r>
        <w:t>Foram priorizadas referências públicas do PNCP e documentos anexos aos processos consultados. A estimativa de planejamento adota preços públicos diretos quando há aderência suficiente e metodologia paramétrica quando não foram localizados três itens idênticos em capacidade, localidade, Anti-DDoS e bloco de IPs.</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Grupo / item</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Referências e fórmula</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Quantidade</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Valor mensal unitário</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Valor mensal</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Valor anual</w:t>
            </w:r>
          </w:p>
        </w:tc>
      </w:tr>
      <w:tr>
        <w:tc>
          <w:tcPr>
            <w:tcW w:type="dxa" w:w="1560"/>
            <w:vAlign w:val="center"/>
            <w:tcMar>
              <w:top w:w="80" w:type="dxa"/>
              <w:start w:w="120" w:type="dxa"/>
              <w:bottom w:w="80" w:type="dxa"/>
              <w:end w:w="120" w:type="dxa"/>
            </w:tcMar>
          </w:tcPr>
          <w:p>
            <w:pPr>
              <w:spacing w:after="0"/>
            </w:pPr>
            <w:r>
              <w:rPr>
                <w:rFonts w:ascii="Calibri" w:hAnsi="Calibri"/>
                <w:sz w:val="18"/>
              </w:rPr>
              <w:t>MPLS 1 Gbps</w:t>
            </w:r>
          </w:p>
        </w:tc>
        <w:tc>
          <w:tcPr>
            <w:tcW w:type="dxa" w:w="1560"/>
            <w:vAlign w:val="center"/>
            <w:tcMar>
              <w:top w:w="80" w:type="dxa"/>
              <w:start w:w="120" w:type="dxa"/>
              <w:bottom w:w="80" w:type="dxa"/>
              <w:end w:w="120" w:type="dxa"/>
            </w:tcMar>
          </w:tcPr>
          <w:p>
            <w:pPr>
              <w:spacing w:after="0"/>
            </w:pPr>
            <w:r>
              <w:rPr>
                <w:rFonts w:ascii="Calibri" w:hAnsi="Calibri"/>
                <w:sz w:val="18"/>
              </w:rPr>
              <w:t>Mediana PNCP documentada no ETP: SENAR/MS, Brusque/SC, Chapecó/SC e ANCINE</w:t>
            </w:r>
          </w:p>
        </w:tc>
        <w:tc>
          <w:tcPr>
            <w:tcW w:type="dxa" w:w="1560"/>
            <w:vAlign w:val="center"/>
            <w:tcMar>
              <w:top w:w="80" w:type="dxa"/>
              <w:start w:w="120" w:type="dxa"/>
              <w:bottom w:w="80" w:type="dxa"/>
              <w:end w:w="120" w:type="dxa"/>
            </w:tcMar>
          </w:tcPr>
          <w:p>
            <w:pPr>
              <w:spacing w:after="0"/>
            </w:pPr>
            <w:r>
              <w:rPr>
                <w:rFonts w:ascii="Calibri" w:hAnsi="Calibri"/>
                <w:sz w:val="18"/>
              </w:rPr>
              <w:t>2</w:t>
            </w:r>
          </w:p>
        </w:tc>
        <w:tc>
          <w:tcPr>
            <w:tcW w:type="dxa" w:w="1560"/>
            <w:vAlign w:val="center"/>
            <w:tcMar>
              <w:top w:w="80" w:type="dxa"/>
              <w:start w:w="120" w:type="dxa"/>
              <w:bottom w:w="80" w:type="dxa"/>
              <w:end w:w="120" w:type="dxa"/>
            </w:tcMar>
          </w:tcPr>
          <w:p>
            <w:pPr>
              <w:spacing w:after="0"/>
            </w:pPr>
            <w:r>
              <w:rPr>
                <w:rFonts w:ascii="Calibri" w:hAnsi="Calibri"/>
                <w:sz w:val="18"/>
              </w:rPr>
              <w:t>R$ 7.122,50</w:t>
            </w:r>
          </w:p>
        </w:tc>
        <w:tc>
          <w:tcPr>
            <w:tcW w:type="dxa" w:w="1560"/>
            <w:vAlign w:val="center"/>
            <w:tcMar>
              <w:top w:w="80" w:type="dxa"/>
              <w:start w:w="120" w:type="dxa"/>
              <w:bottom w:w="80" w:type="dxa"/>
              <w:end w:w="120" w:type="dxa"/>
            </w:tcMar>
          </w:tcPr>
          <w:p>
            <w:pPr>
              <w:spacing w:after="0"/>
            </w:pPr>
            <w:r>
              <w:rPr>
                <w:rFonts w:ascii="Calibri" w:hAnsi="Calibri"/>
                <w:sz w:val="18"/>
              </w:rPr>
              <w:t>R$ 14.245,00</w:t>
            </w:r>
          </w:p>
        </w:tc>
        <w:tc>
          <w:tcPr>
            <w:tcW w:type="dxa" w:w="1560"/>
            <w:vAlign w:val="center"/>
            <w:tcMar>
              <w:top w:w="80" w:type="dxa"/>
              <w:start w:w="120" w:type="dxa"/>
              <w:bottom w:w="80" w:type="dxa"/>
              <w:end w:w="120" w:type="dxa"/>
            </w:tcMar>
          </w:tcPr>
          <w:p>
            <w:pPr>
              <w:spacing w:after="0"/>
            </w:pPr>
            <w:r>
              <w:rPr>
                <w:rFonts w:ascii="Calibri" w:hAnsi="Calibri"/>
                <w:sz w:val="18"/>
              </w:rPr>
              <w:t>R$ 170.940,00</w:t>
            </w:r>
          </w:p>
        </w:tc>
      </w:tr>
      <w:tr>
        <w:tc>
          <w:tcPr>
            <w:tcW w:type="dxa" w:w="1560"/>
            <w:vAlign w:val="center"/>
            <w:tcMar>
              <w:top w:w="80" w:type="dxa"/>
              <w:start w:w="120" w:type="dxa"/>
              <w:bottom w:w="80" w:type="dxa"/>
              <w:end w:w="120" w:type="dxa"/>
            </w:tcMar>
          </w:tcPr>
          <w:p>
            <w:pPr>
              <w:spacing w:after="0"/>
            </w:pPr>
            <w:r>
              <w:rPr>
                <w:rFonts w:ascii="Calibri" w:hAnsi="Calibri"/>
                <w:sz w:val="18"/>
              </w:rPr>
              <w:t>MPLS 500 Mbps</w:t>
            </w:r>
          </w:p>
        </w:tc>
        <w:tc>
          <w:tcPr>
            <w:tcW w:type="dxa" w:w="1560"/>
            <w:vAlign w:val="center"/>
            <w:tcMar>
              <w:top w:w="80" w:type="dxa"/>
              <w:start w:w="120" w:type="dxa"/>
              <w:bottom w:w="80" w:type="dxa"/>
              <w:end w:w="120" w:type="dxa"/>
            </w:tcMar>
          </w:tcPr>
          <w:p>
            <w:pPr>
              <w:spacing w:after="0"/>
            </w:pPr>
            <w:r>
              <w:rPr>
                <w:rFonts w:ascii="Calibri" w:hAnsi="Calibri"/>
                <w:sz w:val="18"/>
              </w:rPr>
              <w:t>Mediana PNCP documentada no ETP: Chapecó/SC, ANCINE e Cascavel/PR</w:t>
            </w:r>
          </w:p>
        </w:tc>
        <w:tc>
          <w:tcPr>
            <w:tcW w:type="dxa" w:w="1560"/>
            <w:vAlign w:val="center"/>
            <w:tcMar>
              <w:top w:w="80" w:type="dxa"/>
              <w:start w:w="120" w:type="dxa"/>
              <w:bottom w:w="80" w:type="dxa"/>
              <w:end w:w="120" w:type="dxa"/>
            </w:tcMar>
          </w:tcPr>
          <w:p>
            <w:pPr>
              <w:spacing w:after="0"/>
            </w:pPr>
            <w:r>
              <w:rPr>
                <w:rFonts w:ascii="Calibri" w:hAnsi="Calibri"/>
                <w:sz w:val="18"/>
              </w:rPr>
              <w:t>3</w:t>
            </w:r>
          </w:p>
        </w:tc>
        <w:tc>
          <w:tcPr>
            <w:tcW w:type="dxa" w:w="1560"/>
            <w:vAlign w:val="center"/>
            <w:tcMar>
              <w:top w:w="80" w:type="dxa"/>
              <w:start w:w="120" w:type="dxa"/>
              <w:bottom w:w="80" w:type="dxa"/>
              <w:end w:w="120" w:type="dxa"/>
            </w:tcMar>
          </w:tcPr>
          <w:p>
            <w:pPr>
              <w:spacing w:after="0"/>
            </w:pPr>
            <w:r>
              <w:rPr>
                <w:rFonts w:ascii="Calibri" w:hAnsi="Calibri"/>
                <w:sz w:val="18"/>
              </w:rPr>
              <w:t>R$ 1.900,00</w:t>
            </w:r>
          </w:p>
        </w:tc>
        <w:tc>
          <w:tcPr>
            <w:tcW w:type="dxa" w:w="1560"/>
            <w:vAlign w:val="center"/>
            <w:tcMar>
              <w:top w:w="80" w:type="dxa"/>
              <w:start w:w="120" w:type="dxa"/>
              <w:bottom w:w="80" w:type="dxa"/>
              <w:end w:w="120" w:type="dxa"/>
            </w:tcMar>
          </w:tcPr>
          <w:p>
            <w:pPr>
              <w:spacing w:after="0"/>
            </w:pPr>
            <w:r>
              <w:rPr>
                <w:rFonts w:ascii="Calibri" w:hAnsi="Calibri"/>
                <w:sz w:val="18"/>
              </w:rPr>
              <w:t>R$ 5.700,00</w:t>
            </w:r>
          </w:p>
        </w:tc>
        <w:tc>
          <w:tcPr>
            <w:tcW w:type="dxa" w:w="1560"/>
            <w:vAlign w:val="center"/>
            <w:tcMar>
              <w:top w:w="80" w:type="dxa"/>
              <w:start w:w="120" w:type="dxa"/>
              <w:bottom w:w="80" w:type="dxa"/>
              <w:end w:w="120" w:type="dxa"/>
            </w:tcMar>
          </w:tcPr>
          <w:p>
            <w:pPr>
              <w:spacing w:after="0"/>
            </w:pPr>
            <w:r>
              <w:rPr>
                <w:rFonts w:ascii="Calibri" w:hAnsi="Calibri"/>
                <w:sz w:val="18"/>
              </w:rPr>
              <w:t>R$ 68.400,00</w:t>
            </w:r>
          </w:p>
        </w:tc>
      </w:tr>
      <w:tr>
        <w:tc>
          <w:tcPr>
            <w:tcW w:type="dxa" w:w="1560"/>
            <w:vAlign w:val="center"/>
            <w:tcMar>
              <w:top w:w="80" w:type="dxa"/>
              <w:start w:w="120" w:type="dxa"/>
              <w:bottom w:w="80" w:type="dxa"/>
              <w:end w:w="120" w:type="dxa"/>
            </w:tcMar>
          </w:tcPr>
          <w:p>
            <w:pPr>
              <w:spacing w:after="0"/>
            </w:pPr>
            <w:r>
              <w:rPr>
                <w:rFonts w:ascii="Calibri" w:hAnsi="Calibri"/>
                <w:sz w:val="18"/>
              </w:rPr>
              <w:t>MPLS 100 Mbps</w:t>
            </w:r>
          </w:p>
        </w:tc>
        <w:tc>
          <w:tcPr>
            <w:tcW w:type="dxa" w:w="1560"/>
            <w:vAlign w:val="center"/>
            <w:tcMar>
              <w:top w:w="80" w:type="dxa"/>
              <w:start w:w="120" w:type="dxa"/>
              <w:bottom w:w="80" w:type="dxa"/>
              <w:end w:w="120" w:type="dxa"/>
            </w:tcMar>
          </w:tcPr>
          <w:p>
            <w:pPr>
              <w:spacing w:after="0"/>
            </w:pPr>
            <w:r>
              <w:rPr>
                <w:rFonts w:ascii="Calibri" w:hAnsi="Calibri"/>
                <w:sz w:val="18"/>
              </w:rPr>
              <w:t>Mediana PNCP documentada no ETP: CODEVASF, Cascavel/PR e Chapecó/SC</w:t>
            </w:r>
          </w:p>
        </w:tc>
        <w:tc>
          <w:tcPr>
            <w:tcW w:type="dxa" w:w="1560"/>
            <w:vAlign w:val="center"/>
            <w:tcMar>
              <w:top w:w="80" w:type="dxa"/>
              <w:start w:w="120" w:type="dxa"/>
              <w:bottom w:w="80" w:type="dxa"/>
              <w:end w:w="120" w:type="dxa"/>
            </w:tcMar>
          </w:tcPr>
          <w:p>
            <w:pPr>
              <w:spacing w:after="0"/>
            </w:pPr>
            <w:r>
              <w:rPr>
                <w:rFonts w:ascii="Calibri" w:hAnsi="Calibri"/>
                <w:sz w:val="18"/>
              </w:rPr>
              <w:t>5</w:t>
            </w:r>
          </w:p>
        </w:tc>
        <w:tc>
          <w:tcPr>
            <w:tcW w:type="dxa" w:w="1560"/>
            <w:vAlign w:val="center"/>
            <w:tcMar>
              <w:top w:w="80" w:type="dxa"/>
              <w:start w:w="120" w:type="dxa"/>
              <w:bottom w:w="80" w:type="dxa"/>
              <w:end w:w="120" w:type="dxa"/>
            </w:tcMar>
          </w:tcPr>
          <w:p>
            <w:pPr>
              <w:spacing w:after="0"/>
            </w:pPr>
            <w:r>
              <w:rPr>
                <w:rFonts w:ascii="Calibri" w:hAnsi="Calibri"/>
                <w:sz w:val="18"/>
              </w:rPr>
              <w:t>R$ 1.900,00</w:t>
            </w:r>
          </w:p>
        </w:tc>
        <w:tc>
          <w:tcPr>
            <w:tcW w:type="dxa" w:w="1560"/>
            <w:vAlign w:val="center"/>
            <w:tcMar>
              <w:top w:w="80" w:type="dxa"/>
              <w:start w:w="120" w:type="dxa"/>
              <w:bottom w:w="80" w:type="dxa"/>
              <w:end w:w="120" w:type="dxa"/>
            </w:tcMar>
          </w:tcPr>
          <w:p>
            <w:pPr>
              <w:spacing w:after="0"/>
            </w:pPr>
            <w:r>
              <w:rPr>
                <w:rFonts w:ascii="Calibri" w:hAnsi="Calibri"/>
                <w:sz w:val="18"/>
              </w:rPr>
              <w:t>R$ 9.500,00</w:t>
            </w:r>
          </w:p>
        </w:tc>
        <w:tc>
          <w:tcPr>
            <w:tcW w:type="dxa" w:w="1560"/>
            <w:vAlign w:val="center"/>
            <w:tcMar>
              <w:top w:w="80" w:type="dxa"/>
              <w:start w:w="120" w:type="dxa"/>
              <w:bottom w:w="80" w:type="dxa"/>
              <w:end w:w="120" w:type="dxa"/>
            </w:tcMar>
          </w:tcPr>
          <w:p>
            <w:pPr>
              <w:spacing w:after="0"/>
            </w:pPr>
            <w:r>
              <w:rPr>
                <w:rFonts w:ascii="Calibri" w:hAnsi="Calibri"/>
                <w:sz w:val="18"/>
              </w:rPr>
              <w:t>R$ 114.000,00</w:t>
            </w:r>
          </w:p>
        </w:tc>
      </w:tr>
      <w:tr>
        <w:tc>
          <w:tcPr>
            <w:tcW w:type="dxa" w:w="1560"/>
            <w:vAlign w:val="center"/>
            <w:tcMar>
              <w:top w:w="80" w:type="dxa"/>
              <w:start w:w="120" w:type="dxa"/>
              <w:bottom w:w="80" w:type="dxa"/>
              <w:end w:w="120" w:type="dxa"/>
            </w:tcMar>
          </w:tcPr>
          <w:p>
            <w:pPr>
              <w:spacing w:after="0"/>
            </w:pPr>
            <w:r>
              <w:rPr>
                <w:rFonts w:ascii="Calibri" w:hAnsi="Calibri"/>
                <w:sz w:val="18"/>
              </w:rPr>
              <w:t>Link dedicado Sede-Foro 25 Gbps</w:t>
            </w:r>
          </w:p>
        </w:tc>
        <w:tc>
          <w:tcPr>
            <w:tcW w:type="dxa" w:w="1560"/>
            <w:vAlign w:val="center"/>
            <w:tcMar>
              <w:top w:w="80" w:type="dxa"/>
              <w:start w:w="120" w:type="dxa"/>
              <w:bottom w:w="80" w:type="dxa"/>
              <w:end w:w="120" w:type="dxa"/>
            </w:tcMar>
          </w:tcPr>
          <w:p>
            <w:pPr>
              <w:spacing w:after="0"/>
            </w:pPr>
            <w:r>
              <w:rPr>
                <w:rFonts w:ascii="Calibri" w:hAnsi="Calibri"/>
                <w:sz w:val="18"/>
              </w:rPr>
              <w:t>Faixa paramétrica de alta capacidade: (R$ 30.000,00 + R$ 60.000,00) / 2</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R$ 45.000,00</w:t>
            </w:r>
          </w:p>
        </w:tc>
        <w:tc>
          <w:tcPr>
            <w:tcW w:type="dxa" w:w="1560"/>
            <w:vAlign w:val="center"/>
            <w:tcMar>
              <w:top w:w="80" w:type="dxa"/>
              <w:start w:w="120" w:type="dxa"/>
              <w:bottom w:w="80" w:type="dxa"/>
              <w:end w:w="120" w:type="dxa"/>
            </w:tcMar>
          </w:tcPr>
          <w:p>
            <w:pPr>
              <w:spacing w:after="0"/>
            </w:pPr>
            <w:r>
              <w:rPr>
                <w:rFonts w:ascii="Calibri" w:hAnsi="Calibri"/>
                <w:sz w:val="18"/>
              </w:rPr>
              <w:t>R$ 45.000,00</w:t>
            </w:r>
          </w:p>
        </w:tc>
        <w:tc>
          <w:tcPr>
            <w:tcW w:type="dxa" w:w="1560"/>
            <w:vAlign w:val="center"/>
            <w:tcMar>
              <w:top w:w="80" w:type="dxa"/>
              <w:start w:w="120" w:type="dxa"/>
              <w:bottom w:w="80" w:type="dxa"/>
              <w:end w:w="120" w:type="dxa"/>
            </w:tcMar>
          </w:tcPr>
          <w:p>
            <w:pPr>
              <w:spacing w:after="0"/>
            </w:pPr>
            <w:r>
              <w:rPr>
                <w:rFonts w:ascii="Calibri" w:hAnsi="Calibri"/>
                <w:sz w:val="18"/>
              </w:rPr>
              <w:t>R$ 540.000,00</w:t>
            </w:r>
          </w:p>
        </w:tc>
      </w:tr>
      <w:tr>
        <w:tc>
          <w:tcPr>
            <w:tcW w:type="dxa" w:w="1560"/>
            <w:vAlign w:val="center"/>
            <w:tcMar>
              <w:top w:w="80" w:type="dxa"/>
              <w:start w:w="120" w:type="dxa"/>
              <w:bottom w:w="80" w:type="dxa"/>
              <w:end w:w="120" w:type="dxa"/>
            </w:tcMar>
          </w:tcPr>
          <w:p>
            <w:pPr>
              <w:spacing w:after="0"/>
            </w:pPr>
            <w:r>
              <w:rPr>
                <w:rFonts w:ascii="Calibri" w:hAnsi="Calibri"/>
                <w:sz w:val="18"/>
              </w:rPr>
              <w:t>Internet Sede 4 Gbps com Anti-DDoS e 32 IPs fixos</w:t>
            </w:r>
          </w:p>
        </w:tc>
        <w:tc>
          <w:tcPr>
            <w:tcW w:type="dxa" w:w="1560"/>
            <w:vAlign w:val="center"/>
            <w:tcMar>
              <w:top w:w="80" w:type="dxa"/>
              <w:start w:w="120" w:type="dxa"/>
              <w:bottom w:w="80" w:type="dxa"/>
              <w:end w:w="120" w:type="dxa"/>
            </w:tcMar>
          </w:tcPr>
          <w:p>
            <w:pPr>
              <w:spacing w:after="0"/>
            </w:pPr>
            <w:r>
              <w:rPr>
                <w:rFonts w:ascii="Calibri" w:hAnsi="Calibri"/>
                <w:sz w:val="18"/>
              </w:rPr>
              <w:t>Ipojuca 4 Gbps com Anti-DDoS R$ 15.687,33 + ajuste Chapecó /27 R$ 1.920,00</w:t>
            </w:r>
          </w:p>
        </w:tc>
        <w:tc>
          <w:tcPr>
            <w:tcW w:type="dxa" w:w="1560"/>
            <w:vAlign w:val="center"/>
            <w:tcMar>
              <w:top w:w="80" w:type="dxa"/>
              <w:start w:w="120" w:type="dxa"/>
              <w:bottom w:w="80" w:type="dxa"/>
              <w:end w:w="120" w:type="dxa"/>
            </w:tcMar>
          </w:tcPr>
          <w:p>
            <w:pPr>
              <w:spacing w:after="0"/>
            </w:pPr>
            <w:r>
              <w:rPr>
                <w:rFonts w:ascii="Calibri" w:hAnsi="Calibri"/>
                <w:sz w:val="18"/>
              </w:rPr>
              <w:t>3</w:t>
            </w:r>
          </w:p>
        </w:tc>
        <w:tc>
          <w:tcPr>
            <w:tcW w:type="dxa" w:w="1560"/>
            <w:vAlign w:val="center"/>
            <w:tcMar>
              <w:top w:w="80" w:type="dxa"/>
              <w:start w:w="120" w:type="dxa"/>
              <w:bottom w:w="80" w:type="dxa"/>
              <w:end w:w="120" w:type="dxa"/>
            </w:tcMar>
          </w:tcPr>
          <w:p>
            <w:pPr>
              <w:spacing w:after="0"/>
            </w:pPr>
            <w:r>
              <w:rPr>
                <w:rFonts w:ascii="Calibri" w:hAnsi="Calibri"/>
                <w:sz w:val="18"/>
              </w:rPr>
              <w:t>R$ 17.607,33</w:t>
            </w:r>
          </w:p>
        </w:tc>
        <w:tc>
          <w:tcPr>
            <w:tcW w:type="dxa" w:w="1560"/>
            <w:vAlign w:val="center"/>
            <w:tcMar>
              <w:top w:w="80" w:type="dxa"/>
              <w:start w:w="120" w:type="dxa"/>
              <w:bottom w:w="80" w:type="dxa"/>
              <w:end w:w="120" w:type="dxa"/>
            </w:tcMar>
          </w:tcPr>
          <w:p>
            <w:pPr>
              <w:spacing w:after="0"/>
            </w:pPr>
            <w:r>
              <w:rPr>
                <w:rFonts w:ascii="Calibri" w:hAnsi="Calibri"/>
                <w:sz w:val="18"/>
              </w:rPr>
              <w:t>R$ 52.821,99</w:t>
            </w:r>
          </w:p>
        </w:tc>
        <w:tc>
          <w:tcPr>
            <w:tcW w:type="dxa" w:w="1560"/>
            <w:vAlign w:val="center"/>
            <w:tcMar>
              <w:top w:w="80" w:type="dxa"/>
              <w:start w:w="120" w:type="dxa"/>
              <w:bottom w:w="80" w:type="dxa"/>
              <w:end w:w="120" w:type="dxa"/>
            </w:tcMar>
          </w:tcPr>
          <w:p>
            <w:pPr>
              <w:spacing w:after="0"/>
            </w:pPr>
            <w:r>
              <w:rPr>
                <w:rFonts w:ascii="Calibri" w:hAnsi="Calibri"/>
                <w:sz w:val="18"/>
              </w:rPr>
              <w:t>R$ 633.863,88</w:t>
            </w:r>
          </w:p>
        </w:tc>
      </w:tr>
      <w:tr>
        <w:tc>
          <w:tcPr>
            <w:tcW w:type="dxa" w:w="1560"/>
            <w:vAlign w:val="center"/>
            <w:tcMar>
              <w:top w:w="80" w:type="dxa"/>
              <w:start w:w="120" w:type="dxa"/>
              <w:bottom w:w="80" w:type="dxa"/>
              <w:end w:w="120" w:type="dxa"/>
            </w:tcMar>
          </w:tcPr>
          <w:p>
            <w:pPr>
              <w:spacing w:after="0"/>
            </w:pPr>
            <w:r>
              <w:rPr>
                <w:rFonts w:ascii="Calibri" w:hAnsi="Calibri"/>
                <w:sz w:val="18"/>
              </w:rPr>
              <w:t>Internet Foro 2 Gbps com Anti-DDoS e 32 IPs fixos</w:t>
            </w:r>
          </w:p>
        </w:tc>
        <w:tc>
          <w:tcPr>
            <w:tcW w:type="dxa" w:w="1560"/>
            <w:vAlign w:val="center"/>
            <w:tcMar>
              <w:top w:w="80" w:type="dxa"/>
              <w:start w:w="120" w:type="dxa"/>
              <w:bottom w:w="80" w:type="dxa"/>
              <w:end w:w="120" w:type="dxa"/>
            </w:tcMar>
          </w:tcPr>
          <w:p>
            <w:pPr>
              <w:spacing w:after="0"/>
            </w:pPr>
            <w:r>
              <w:rPr>
                <w:rFonts w:ascii="Calibri" w:hAnsi="Calibri"/>
                <w:sz w:val="18"/>
              </w:rPr>
              <w:t>Mediana conservadora de referências normalizadas: IPEA R$ 5.520,00; composição Ministério da Defesa + /27 R$ 13.693,78; CLDF R$ 23.520,00</w:t>
            </w:r>
          </w:p>
        </w:tc>
        <w:tc>
          <w:tcPr>
            <w:tcW w:type="dxa" w:w="1560"/>
            <w:vAlign w:val="center"/>
            <w:tcMar>
              <w:top w:w="80" w:type="dxa"/>
              <w:start w:w="120" w:type="dxa"/>
              <w:bottom w:w="80" w:type="dxa"/>
              <w:end w:w="120" w:type="dxa"/>
            </w:tcMar>
          </w:tcPr>
          <w:p>
            <w:pPr>
              <w:spacing w:after="0"/>
            </w:pPr>
            <w:r>
              <w:rPr>
                <w:rFonts w:ascii="Calibri" w:hAnsi="Calibri"/>
                <w:sz w:val="18"/>
              </w:rPr>
              <w:t>2</w:t>
            </w:r>
          </w:p>
        </w:tc>
        <w:tc>
          <w:tcPr>
            <w:tcW w:type="dxa" w:w="1560"/>
            <w:vAlign w:val="center"/>
            <w:tcMar>
              <w:top w:w="80" w:type="dxa"/>
              <w:start w:w="120" w:type="dxa"/>
              <w:bottom w:w="80" w:type="dxa"/>
              <w:end w:w="120" w:type="dxa"/>
            </w:tcMar>
          </w:tcPr>
          <w:p>
            <w:pPr>
              <w:spacing w:after="0"/>
            </w:pPr>
            <w:r>
              <w:rPr>
                <w:rFonts w:ascii="Calibri" w:hAnsi="Calibri"/>
                <w:sz w:val="18"/>
              </w:rPr>
              <w:t>R$ 13.693,78</w:t>
            </w:r>
          </w:p>
        </w:tc>
        <w:tc>
          <w:tcPr>
            <w:tcW w:type="dxa" w:w="1560"/>
            <w:vAlign w:val="center"/>
            <w:tcMar>
              <w:top w:w="80" w:type="dxa"/>
              <w:start w:w="120" w:type="dxa"/>
              <w:bottom w:w="80" w:type="dxa"/>
              <w:end w:w="120" w:type="dxa"/>
            </w:tcMar>
          </w:tcPr>
          <w:p>
            <w:pPr>
              <w:spacing w:after="0"/>
            </w:pPr>
            <w:r>
              <w:rPr>
                <w:rFonts w:ascii="Calibri" w:hAnsi="Calibri"/>
                <w:sz w:val="18"/>
              </w:rPr>
              <w:t>R$ 27.387,56</w:t>
            </w:r>
          </w:p>
        </w:tc>
        <w:tc>
          <w:tcPr>
            <w:tcW w:type="dxa" w:w="1560"/>
            <w:vAlign w:val="center"/>
            <w:tcMar>
              <w:top w:w="80" w:type="dxa"/>
              <w:start w:w="120" w:type="dxa"/>
              <w:bottom w:w="80" w:type="dxa"/>
              <w:end w:w="120" w:type="dxa"/>
            </w:tcMar>
          </w:tcPr>
          <w:p>
            <w:pPr>
              <w:spacing w:after="0"/>
            </w:pPr>
            <w:r>
              <w:rPr>
                <w:rFonts w:ascii="Calibri" w:hAnsi="Calibri"/>
                <w:sz w:val="18"/>
              </w:rPr>
              <w:t>R$ 328.650,72</w:t>
            </w:r>
          </w:p>
        </w:tc>
      </w:tr>
      <w:tr>
        <w:tc>
          <w:tcPr>
            <w:tcW w:type="dxa" w:w="1560"/>
            <w:vAlign w:val="center"/>
            <w:tcMar>
              <w:top w:w="80" w:type="dxa"/>
              <w:start w:w="120" w:type="dxa"/>
              <w:bottom w:w="80" w:type="dxa"/>
              <w:end w:w="120" w:type="dxa"/>
            </w:tcMar>
          </w:tcPr>
          <w:p>
            <w:pPr>
              <w:spacing w:after="0"/>
            </w:pPr>
            <w:r>
              <w:rPr>
                <w:rFonts w:ascii="Calibri" w:hAnsi="Calibri"/>
                <w:sz w:val="18"/>
              </w:rPr>
              <w:t>Total geral estimado</w:t>
            </w:r>
          </w:p>
        </w:tc>
        <w:tc>
          <w:tcPr>
            <w:tcW w:type="dxa" w:w="1560"/>
            <w:vAlign w:val="center"/>
            <w:tcMar>
              <w:top w:w="80" w:type="dxa"/>
              <w:start w:w="120" w:type="dxa"/>
              <w:bottom w:w="80" w:type="dxa"/>
              <w:end w:w="120" w:type="dxa"/>
            </w:tcMar>
          </w:tcPr>
          <w:p>
            <w:pPr>
              <w:spacing w:after="0"/>
            </w:pPr>
            <w:r>
              <w:rPr>
                <w:rFonts w:ascii="Calibri" w:hAnsi="Calibri"/>
                <w:sz w:val="18"/>
              </w:rPr>
              <w:t>MPLS + link dedicado 25 Gbps + Internet centralizada</w:t>
            </w:r>
          </w:p>
        </w:tc>
        <w:tc>
          <w:tcPr>
            <w:tcW w:type="dxa" w:w="1560"/>
            <w:vAlign w:val="center"/>
            <w:tcMar>
              <w:top w:w="80" w:type="dxa"/>
              <w:start w:w="120" w:type="dxa"/>
              <w:bottom w:w="80" w:type="dxa"/>
              <w:end w:w="120" w:type="dxa"/>
            </w:tcMar>
          </w:tcPr>
          <w:p>
            <w:pPr>
              <w:spacing w:after="0"/>
            </w:pPr>
            <w:r>
              <w:rPr>
                <w:rFonts w:ascii="Calibri" w:hAnsi="Calibri"/>
                <w:sz w:val="18"/>
              </w:rPr>
              <w:t>16 itens</w:t>
            </w:r>
          </w:p>
        </w:tc>
        <w:tc>
          <w:tcPr>
            <w:tcW w:type="dxa" w:w="1560"/>
            <w:vAlign w:val="center"/>
            <w:tcMar>
              <w:top w:w="80" w:type="dxa"/>
              <w:start w:w="120" w:type="dxa"/>
              <w:bottom w:w="80" w:type="dxa"/>
              <w:end w:w="120" w:type="dxa"/>
            </w:tcMar>
          </w:tcPr>
          <w:p>
            <w:pPr>
              <w:spacing w:after="0"/>
            </w:pPr>
            <w:r>
              <w:rPr>
                <w:rFonts w:ascii="Calibri" w:hAnsi="Calibri"/>
                <w:sz w:val="18"/>
              </w:rPr>
              <w:t>-</w:t>
            </w:r>
          </w:p>
        </w:tc>
        <w:tc>
          <w:tcPr>
            <w:tcW w:type="dxa" w:w="1560"/>
            <w:vAlign w:val="center"/>
            <w:tcMar>
              <w:top w:w="80" w:type="dxa"/>
              <w:start w:w="120" w:type="dxa"/>
              <w:bottom w:w="80" w:type="dxa"/>
              <w:end w:w="120" w:type="dxa"/>
            </w:tcMar>
          </w:tcPr>
          <w:p>
            <w:pPr>
              <w:spacing w:after="0"/>
            </w:pPr>
            <w:r>
              <w:rPr>
                <w:rFonts w:ascii="Calibri" w:hAnsi="Calibri"/>
                <w:sz w:val="18"/>
              </w:rPr>
              <w:t>R$ 154.654,55</w:t>
            </w:r>
          </w:p>
        </w:tc>
        <w:tc>
          <w:tcPr>
            <w:tcW w:type="dxa" w:w="1560"/>
            <w:vAlign w:val="center"/>
            <w:tcMar>
              <w:top w:w="80" w:type="dxa"/>
              <w:start w:w="120" w:type="dxa"/>
              <w:bottom w:w="80" w:type="dxa"/>
              <w:end w:w="120" w:type="dxa"/>
            </w:tcMar>
          </w:tcPr>
          <w:p>
            <w:pPr>
              <w:spacing w:after="0"/>
            </w:pPr>
            <w:r>
              <w:rPr>
                <w:rFonts w:ascii="Calibri" w:hAnsi="Calibri"/>
                <w:sz w:val="18"/>
              </w:rPr>
              <w:t>R$ 1.855.854,60</w:t>
            </w:r>
          </w:p>
        </w:tc>
      </w:tr>
    </w:tbl>
    <w:p/>
    <w:p>
      <w:pPr>
        <w:pStyle w:val="Heading2"/>
      </w:pPr>
      <w:r>
        <w:t>5.2 Referências PNCP para MPLS</w:t>
      </w:r>
    </w:p>
    <w:tbl>
      <w:tblPr>
        <w:tblStyle w:val="TableGrid"/>
        <w:tblW w:type="dxa" w:w="9360"/>
        <w:jc w:val="center"/>
        <w:tblLook w:firstColumn="1" w:firstRow="1" w:lastColumn="0" w:lastRow="0" w:noHBand="0" w:noVBand="1" w:val="04A0"/>
        <w:tblInd w:w="120" w:type="dxa"/>
      </w:tblPr>
      <w:tblGrid>
        <w:gridCol w:w="1872"/>
        <w:gridCol w:w="1872"/>
        <w:gridCol w:w="1872"/>
        <w:gridCol w:w="1872"/>
        <w:gridCol w:w="1872"/>
      </w:tblGrid>
      <w:tr>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Capacidade / uso</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Referência</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Pregão/licitação, processo e PNCP</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Valor documentado</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Uso na estimativa</w:t>
            </w:r>
          </w:p>
        </w:tc>
      </w:tr>
      <w:tr>
        <w:tc>
          <w:tcPr>
            <w:tcW w:type="dxa" w:w="1872"/>
            <w:vAlign w:val="center"/>
            <w:tcMar>
              <w:top w:w="80" w:type="dxa"/>
              <w:start w:w="120" w:type="dxa"/>
              <w:bottom w:w="80" w:type="dxa"/>
              <w:end w:w="120" w:type="dxa"/>
            </w:tcMar>
          </w:tcPr>
          <w:p>
            <w:pPr>
              <w:spacing w:after="0"/>
            </w:pPr>
            <w:r>
              <w:rPr>
                <w:rFonts w:ascii="Calibri" w:hAnsi="Calibri"/>
                <w:sz w:val="18"/>
              </w:rPr>
              <w:t>MPLS 1 Gbps</w:t>
            </w:r>
          </w:p>
        </w:tc>
        <w:tc>
          <w:tcPr>
            <w:tcW w:type="dxa" w:w="1872"/>
            <w:vAlign w:val="center"/>
            <w:tcMar>
              <w:top w:w="80" w:type="dxa"/>
              <w:start w:w="120" w:type="dxa"/>
              <w:bottom w:w="80" w:type="dxa"/>
              <w:end w:w="120" w:type="dxa"/>
            </w:tcMar>
          </w:tcPr>
          <w:p>
            <w:pPr>
              <w:spacing w:after="0"/>
            </w:pPr>
            <w:r>
              <w:rPr>
                <w:rFonts w:ascii="Calibri" w:hAnsi="Calibri"/>
                <w:sz w:val="18"/>
              </w:rPr>
              <w:t>SENAR/MS</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009/2026; Processo nº 018/2026; PNCP nº 04253881000103-1-000025/2026</w:t>
            </w:r>
          </w:p>
        </w:tc>
        <w:tc>
          <w:tcPr>
            <w:tcW w:type="dxa" w:w="1872"/>
            <w:vAlign w:val="center"/>
            <w:tcMar>
              <w:top w:w="80" w:type="dxa"/>
              <w:start w:w="120" w:type="dxa"/>
              <w:bottom w:w="80" w:type="dxa"/>
              <w:end w:w="120" w:type="dxa"/>
            </w:tcMar>
          </w:tcPr>
          <w:p>
            <w:pPr>
              <w:spacing w:after="0"/>
            </w:pPr>
            <w:r>
              <w:rPr>
                <w:rFonts w:ascii="Calibri" w:hAnsi="Calibri"/>
                <w:sz w:val="18"/>
              </w:rPr>
              <w:t>R$ 6.950,00/mês</w:t>
            </w:r>
          </w:p>
        </w:tc>
        <w:tc>
          <w:tcPr>
            <w:tcW w:type="dxa" w:w="1872"/>
            <w:vAlign w:val="center"/>
            <w:tcMar>
              <w:top w:w="80" w:type="dxa"/>
              <w:start w:w="120" w:type="dxa"/>
              <w:bottom w:w="80" w:type="dxa"/>
              <w:end w:w="120" w:type="dxa"/>
            </w:tcMar>
          </w:tcPr>
          <w:p>
            <w:pPr>
              <w:spacing w:after="0"/>
            </w:pPr>
            <w:r>
              <w:rPr>
                <w:rFonts w:ascii="Calibri" w:hAnsi="Calibri"/>
                <w:sz w:val="18"/>
              </w:rPr>
              <w:t>Referência direta de link dedicado MPLS de 1 Gbps.</w:t>
            </w:r>
          </w:p>
        </w:tc>
      </w:tr>
      <w:tr>
        <w:tc>
          <w:tcPr>
            <w:tcW w:type="dxa" w:w="1872"/>
            <w:vAlign w:val="center"/>
            <w:tcMar>
              <w:top w:w="80" w:type="dxa"/>
              <w:start w:w="120" w:type="dxa"/>
              <w:bottom w:w="80" w:type="dxa"/>
              <w:end w:w="120" w:type="dxa"/>
            </w:tcMar>
          </w:tcPr>
          <w:p>
            <w:pPr>
              <w:spacing w:after="0"/>
            </w:pPr>
            <w:r>
              <w:rPr>
                <w:rFonts w:ascii="Calibri" w:hAnsi="Calibri"/>
                <w:sz w:val="18"/>
              </w:rPr>
              <w:t>MPLS 1 Gbps</w:t>
            </w:r>
          </w:p>
        </w:tc>
        <w:tc>
          <w:tcPr>
            <w:tcW w:type="dxa" w:w="1872"/>
            <w:vAlign w:val="center"/>
            <w:tcMar>
              <w:top w:w="80" w:type="dxa"/>
              <w:start w:w="120" w:type="dxa"/>
              <w:bottom w:w="80" w:type="dxa"/>
              <w:end w:w="120" w:type="dxa"/>
            </w:tcMar>
          </w:tcPr>
          <w:p>
            <w:pPr>
              <w:spacing w:after="0"/>
            </w:pPr>
            <w:r>
              <w:rPr>
                <w:rFonts w:ascii="Calibri" w:hAnsi="Calibri"/>
                <w:sz w:val="18"/>
              </w:rPr>
              <w:t>Município de Brusque/SC</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11/2026; Processo nº 33/2026; PNCP nº 83102343000194-1-000064/2026</w:t>
            </w:r>
          </w:p>
        </w:tc>
        <w:tc>
          <w:tcPr>
            <w:tcW w:type="dxa" w:w="1872"/>
            <w:vAlign w:val="center"/>
            <w:tcMar>
              <w:top w:w="80" w:type="dxa"/>
              <w:start w:w="120" w:type="dxa"/>
              <w:bottom w:w="80" w:type="dxa"/>
              <w:end w:w="120" w:type="dxa"/>
            </w:tcMar>
          </w:tcPr>
          <w:p>
            <w:pPr>
              <w:spacing w:after="0"/>
            </w:pPr>
            <w:r>
              <w:rPr>
                <w:rFonts w:ascii="Calibri" w:hAnsi="Calibri"/>
                <w:sz w:val="18"/>
              </w:rPr>
              <w:t>R$ 7.295,00/mês</w:t>
            </w:r>
          </w:p>
        </w:tc>
        <w:tc>
          <w:tcPr>
            <w:tcW w:type="dxa" w:w="1872"/>
            <w:vAlign w:val="center"/>
            <w:tcMar>
              <w:top w:w="80" w:type="dxa"/>
              <w:start w:w="120" w:type="dxa"/>
              <w:bottom w:w="80" w:type="dxa"/>
              <w:end w:w="120" w:type="dxa"/>
            </w:tcMar>
          </w:tcPr>
          <w:p>
            <w:pPr>
              <w:spacing w:after="0"/>
            </w:pPr>
            <w:r>
              <w:rPr>
                <w:rFonts w:ascii="Calibri" w:hAnsi="Calibri"/>
                <w:sz w:val="18"/>
              </w:rPr>
              <w:t>Referência direta de acesso privado por MPLS de ao menos 1 Gbps.</w:t>
            </w:r>
          </w:p>
        </w:tc>
      </w:tr>
      <w:tr>
        <w:tc>
          <w:tcPr>
            <w:tcW w:type="dxa" w:w="1872"/>
            <w:vAlign w:val="center"/>
            <w:tcMar>
              <w:top w:w="80" w:type="dxa"/>
              <w:start w:w="120" w:type="dxa"/>
              <w:bottom w:w="80" w:type="dxa"/>
              <w:end w:w="120" w:type="dxa"/>
            </w:tcMar>
          </w:tcPr>
          <w:p>
            <w:pPr>
              <w:spacing w:after="0"/>
            </w:pPr>
            <w:r>
              <w:rPr>
                <w:rFonts w:ascii="Calibri" w:hAnsi="Calibri"/>
                <w:sz w:val="18"/>
              </w:rPr>
              <w:t>MPLS 1 Gbps e 500 Mbps</w:t>
            </w:r>
          </w:p>
        </w:tc>
        <w:tc>
          <w:tcPr>
            <w:tcW w:type="dxa" w:w="1872"/>
            <w:vAlign w:val="center"/>
            <w:tcMar>
              <w:top w:w="80" w:type="dxa"/>
              <w:start w:w="120" w:type="dxa"/>
              <w:bottom w:w="80" w:type="dxa"/>
              <w:end w:w="120" w:type="dxa"/>
            </w:tcMar>
          </w:tcPr>
          <w:p>
            <w:pPr>
              <w:spacing w:after="0"/>
            </w:pPr>
            <w:r>
              <w:rPr>
                <w:rFonts w:ascii="Calibri" w:hAnsi="Calibri"/>
                <w:sz w:val="18"/>
              </w:rPr>
              <w:t>Município de Chapecó/SC</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153/2026; Processo nº 153/2026; PNCP nº 83021808000182-1-000200/2026</w:t>
            </w:r>
          </w:p>
        </w:tc>
        <w:tc>
          <w:tcPr>
            <w:tcW w:type="dxa" w:w="1872"/>
            <w:vAlign w:val="center"/>
            <w:tcMar>
              <w:top w:w="80" w:type="dxa"/>
              <w:start w:w="120" w:type="dxa"/>
              <w:bottom w:w="80" w:type="dxa"/>
              <w:end w:w="120" w:type="dxa"/>
            </w:tcMar>
          </w:tcPr>
          <w:p>
            <w:pPr>
              <w:spacing w:after="0"/>
            </w:pPr>
            <w:r>
              <w:rPr>
                <w:rFonts w:ascii="Calibri" w:hAnsi="Calibri"/>
                <w:sz w:val="18"/>
              </w:rPr>
              <w:t>R$ 11.480,00/mês para grupo de 20 pontos de 1 Gbps; R$ 84.050,00/mês para grupo de 205 pontos de 500 Mbps</w:t>
            </w:r>
          </w:p>
        </w:tc>
        <w:tc>
          <w:tcPr>
            <w:tcW w:type="dxa" w:w="1872"/>
            <w:vAlign w:val="center"/>
            <w:tcMar>
              <w:top w:w="80" w:type="dxa"/>
              <w:start w:w="120" w:type="dxa"/>
              <w:bottom w:w="80" w:type="dxa"/>
              <w:end w:w="120" w:type="dxa"/>
            </w:tcMar>
          </w:tcPr>
          <w:p>
            <w:pPr>
              <w:spacing w:after="0"/>
            </w:pPr>
            <w:r>
              <w:rPr>
                <w:rFonts w:ascii="Calibri" w:hAnsi="Calibri"/>
                <w:sz w:val="18"/>
              </w:rPr>
              <w:t>Referência de rede privada MPLS em escala, usada como apoio de mercado e validação de capacidade.</w:t>
            </w:r>
          </w:p>
        </w:tc>
      </w:tr>
      <w:tr>
        <w:tc>
          <w:tcPr>
            <w:tcW w:type="dxa" w:w="1872"/>
            <w:vAlign w:val="center"/>
            <w:tcMar>
              <w:top w:w="80" w:type="dxa"/>
              <w:start w:w="120" w:type="dxa"/>
              <w:bottom w:w="80" w:type="dxa"/>
              <w:end w:w="120" w:type="dxa"/>
            </w:tcMar>
          </w:tcPr>
          <w:p>
            <w:pPr>
              <w:spacing w:after="0"/>
            </w:pPr>
            <w:r>
              <w:rPr>
                <w:rFonts w:ascii="Calibri" w:hAnsi="Calibri"/>
                <w:sz w:val="18"/>
              </w:rPr>
              <w:t>MPLS/SD-WAN</w:t>
            </w:r>
          </w:p>
        </w:tc>
        <w:tc>
          <w:tcPr>
            <w:tcW w:type="dxa" w:w="1872"/>
            <w:vAlign w:val="center"/>
            <w:tcMar>
              <w:top w:w="80" w:type="dxa"/>
              <w:start w:w="120" w:type="dxa"/>
              <w:bottom w:w="80" w:type="dxa"/>
              <w:end w:w="120" w:type="dxa"/>
            </w:tcMar>
          </w:tcPr>
          <w:p>
            <w:pPr>
              <w:spacing w:after="0"/>
            </w:pPr>
            <w:r>
              <w:rPr>
                <w:rFonts w:ascii="Calibri" w:hAnsi="Calibri"/>
                <w:sz w:val="18"/>
              </w:rPr>
              <w:t>ANCINE</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90007/2025; Processo nº 01416.005548/2024-11; PNCP nº 04884574000120-1-000056/2025</w:t>
            </w:r>
          </w:p>
        </w:tc>
        <w:tc>
          <w:tcPr>
            <w:tcW w:type="dxa" w:w="1872"/>
            <w:vAlign w:val="center"/>
            <w:tcMar>
              <w:top w:w="80" w:type="dxa"/>
              <w:start w:w="120" w:type="dxa"/>
              <w:bottom w:w="80" w:type="dxa"/>
              <w:end w:w="120" w:type="dxa"/>
            </w:tcMar>
          </w:tcPr>
          <w:p>
            <w:pPr>
              <w:spacing w:after="0"/>
            </w:pPr>
            <w:r>
              <w:rPr>
                <w:rFonts w:ascii="Calibri" w:hAnsi="Calibri"/>
                <w:sz w:val="18"/>
              </w:rPr>
              <w:t>Itens mensais de R$ 87.562,44, R$ 98.541,28 e R$ 70.505,04, com quantidades distintas</w:t>
            </w:r>
          </w:p>
        </w:tc>
        <w:tc>
          <w:tcPr>
            <w:tcW w:type="dxa" w:w="1872"/>
            <w:vAlign w:val="center"/>
            <w:tcMar>
              <w:top w:w="80" w:type="dxa"/>
              <w:start w:w="120" w:type="dxa"/>
              <w:bottom w:w="80" w:type="dxa"/>
              <w:end w:w="120" w:type="dxa"/>
            </w:tcMar>
          </w:tcPr>
          <w:p>
            <w:pPr>
              <w:spacing w:after="0"/>
            </w:pPr>
            <w:r>
              <w:rPr>
                <w:rFonts w:ascii="Calibri" w:hAnsi="Calibri"/>
                <w:sz w:val="18"/>
              </w:rPr>
              <w:t>Referência auxiliar de solução híbrida Internet/MPLS/SD-WAN, normalizada no ETP conforme capacidade e escopo.</w:t>
            </w:r>
          </w:p>
        </w:tc>
      </w:tr>
      <w:tr>
        <w:tc>
          <w:tcPr>
            <w:tcW w:type="dxa" w:w="1872"/>
            <w:vAlign w:val="center"/>
            <w:tcMar>
              <w:top w:w="80" w:type="dxa"/>
              <w:start w:w="120" w:type="dxa"/>
              <w:bottom w:w="80" w:type="dxa"/>
              <w:end w:w="120" w:type="dxa"/>
            </w:tcMar>
          </w:tcPr>
          <w:p>
            <w:pPr>
              <w:spacing w:after="0"/>
            </w:pPr>
            <w:r>
              <w:rPr>
                <w:rFonts w:ascii="Calibri" w:hAnsi="Calibri"/>
                <w:sz w:val="18"/>
              </w:rPr>
              <w:t>MPLS 100 Mbps e faixas inferiores</w:t>
            </w:r>
          </w:p>
        </w:tc>
        <w:tc>
          <w:tcPr>
            <w:tcW w:type="dxa" w:w="1872"/>
            <w:vAlign w:val="center"/>
            <w:tcMar>
              <w:top w:w="80" w:type="dxa"/>
              <w:start w:w="120" w:type="dxa"/>
              <w:bottom w:w="80" w:type="dxa"/>
              <w:end w:w="120" w:type="dxa"/>
            </w:tcMar>
          </w:tcPr>
          <w:p>
            <w:pPr>
              <w:spacing w:after="0"/>
            </w:pPr>
            <w:r>
              <w:rPr>
                <w:rFonts w:ascii="Calibri" w:hAnsi="Calibri"/>
                <w:sz w:val="18"/>
              </w:rPr>
              <w:t>Município de Cascavel/PR</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90129/2025; Processo nº 115968; PNCP nº 76208867000107-1-000429/2025</w:t>
            </w:r>
          </w:p>
        </w:tc>
        <w:tc>
          <w:tcPr>
            <w:tcW w:type="dxa" w:w="1872"/>
            <w:vAlign w:val="center"/>
            <w:tcMar>
              <w:top w:w="80" w:type="dxa"/>
              <w:start w:w="120" w:type="dxa"/>
              <w:bottom w:w="80" w:type="dxa"/>
              <w:end w:w="120" w:type="dxa"/>
            </w:tcMar>
          </w:tcPr>
          <w:p>
            <w:pPr>
              <w:spacing w:after="0"/>
            </w:pPr>
            <w:r>
              <w:rPr>
                <w:rFonts w:ascii="Calibri" w:hAnsi="Calibri"/>
                <w:sz w:val="18"/>
              </w:rPr>
              <w:t>Itens mensais de R$ 22.800,00; R$ 8.040,00; R$ 6.200,04; R$ 4.407,96; R$ 1.940,04</w:t>
            </w:r>
          </w:p>
        </w:tc>
        <w:tc>
          <w:tcPr>
            <w:tcW w:type="dxa" w:w="1872"/>
            <w:vAlign w:val="center"/>
            <w:tcMar>
              <w:top w:w="80" w:type="dxa"/>
              <w:start w:w="120" w:type="dxa"/>
              <w:bottom w:w="80" w:type="dxa"/>
              <w:end w:w="120" w:type="dxa"/>
            </w:tcMar>
          </w:tcPr>
          <w:p>
            <w:pPr>
              <w:spacing w:after="0"/>
            </w:pPr>
            <w:r>
              <w:rPr>
                <w:rFonts w:ascii="Calibri" w:hAnsi="Calibri"/>
                <w:sz w:val="18"/>
              </w:rPr>
              <w:t>Referência por faixas de capacidade para estimativa dos enlaces de 100 Mbps e apoio aos enlaces de 500 Mbps.</w:t>
            </w:r>
          </w:p>
        </w:tc>
      </w:tr>
      <w:tr>
        <w:tc>
          <w:tcPr>
            <w:tcW w:type="dxa" w:w="1872"/>
            <w:vAlign w:val="center"/>
            <w:tcMar>
              <w:top w:w="80" w:type="dxa"/>
              <w:start w:w="120" w:type="dxa"/>
              <w:bottom w:w="80" w:type="dxa"/>
              <w:end w:w="120" w:type="dxa"/>
            </w:tcMar>
          </w:tcPr>
          <w:p>
            <w:pPr>
              <w:spacing w:after="0"/>
            </w:pPr>
            <w:r>
              <w:rPr>
                <w:rFonts w:ascii="Calibri" w:hAnsi="Calibri"/>
                <w:sz w:val="18"/>
              </w:rPr>
              <w:t>WAN MPLS nacional</w:t>
            </w:r>
          </w:p>
        </w:tc>
        <w:tc>
          <w:tcPr>
            <w:tcW w:type="dxa" w:w="1872"/>
            <w:vAlign w:val="center"/>
            <w:tcMar>
              <w:top w:w="80" w:type="dxa"/>
              <w:start w:w="120" w:type="dxa"/>
              <w:bottom w:w="80" w:type="dxa"/>
              <w:end w:w="120" w:type="dxa"/>
            </w:tcMar>
          </w:tcPr>
          <w:p>
            <w:pPr>
              <w:spacing w:after="0"/>
            </w:pPr>
            <w:r>
              <w:rPr>
                <w:rFonts w:ascii="Calibri" w:hAnsi="Calibri"/>
                <w:sz w:val="18"/>
              </w:rPr>
              <w:t>CODEVASF</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90003/2025; Processo nº 59500002693202462; PNCP nº 00399857000126-1-000049/2025</w:t>
            </w:r>
          </w:p>
        </w:tc>
        <w:tc>
          <w:tcPr>
            <w:tcW w:type="dxa" w:w="1872"/>
            <w:vAlign w:val="center"/>
            <w:tcMar>
              <w:top w:w="80" w:type="dxa"/>
              <w:start w:w="120" w:type="dxa"/>
              <w:bottom w:w="80" w:type="dxa"/>
              <w:end w:w="120" w:type="dxa"/>
            </w:tcMar>
          </w:tcPr>
          <w:p>
            <w:pPr>
              <w:spacing w:after="0"/>
            </w:pPr>
            <w:r>
              <w:rPr>
                <w:rFonts w:ascii="Calibri" w:hAnsi="Calibri"/>
                <w:sz w:val="18"/>
              </w:rPr>
              <w:t>Valor estimado R$ 1.433.232,00; homologado R$ 670.023,00</w:t>
            </w:r>
          </w:p>
        </w:tc>
        <w:tc>
          <w:tcPr>
            <w:tcW w:type="dxa" w:w="1872"/>
            <w:vAlign w:val="center"/>
            <w:tcMar>
              <w:top w:w="80" w:type="dxa"/>
              <w:start w:w="120" w:type="dxa"/>
              <w:bottom w:w="80" w:type="dxa"/>
              <w:end w:w="120" w:type="dxa"/>
            </w:tcMar>
          </w:tcPr>
          <w:p>
            <w:pPr>
              <w:spacing w:after="0"/>
            </w:pPr>
            <w:r>
              <w:rPr>
                <w:rFonts w:ascii="Calibri" w:hAnsi="Calibri"/>
                <w:sz w:val="18"/>
              </w:rPr>
              <w:t>Referência de rede corporativa WAN MPLS nacional, usada como validação técnica e referência auxiliar para 100 Mbps.</w:t>
            </w:r>
          </w:p>
        </w:tc>
      </w:tr>
    </w:tbl>
    <w:p/>
    <w:p>
      <w:pPr>
        <w:pStyle w:val="Heading2"/>
      </w:pPr>
      <w:r>
        <w:t>5.3 Referências PNCP para o link dedicado Sede-Foro de 25 Gbps</w:t>
      </w:r>
    </w:p>
    <w:tbl>
      <w:tblPr>
        <w:tblStyle w:val="TableGrid"/>
        <w:tblW w:type="dxa" w:w="9360"/>
        <w:jc w:val="center"/>
        <w:tblLook w:firstColumn="1" w:firstRow="1" w:lastColumn="0" w:lastRow="0" w:noHBand="0" w:noVBand="1" w:val="04A0"/>
        <w:tblInd w:w="120" w:type="dxa"/>
      </w:tblPr>
      <w:tblGrid>
        <w:gridCol w:w="1872"/>
        <w:gridCol w:w="1872"/>
        <w:gridCol w:w="1872"/>
        <w:gridCol w:w="1872"/>
        <w:gridCol w:w="1872"/>
      </w:tblGrid>
      <w:tr>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Referência</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Pregão/licitação e PNCP</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Objeto / item localizado</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Valor documentado</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Uso na estimativa</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Candeias/BA</w:t>
            </w:r>
          </w:p>
        </w:tc>
        <w:tc>
          <w:tcPr>
            <w:tcW w:type="dxa" w:w="1872"/>
            <w:vAlign w:val="center"/>
            <w:tcMar>
              <w:top w:w="80" w:type="dxa"/>
              <w:start w:w="120" w:type="dxa"/>
              <w:bottom w:w="80" w:type="dxa"/>
              <w:end w:w="120" w:type="dxa"/>
            </w:tcMar>
          </w:tcPr>
          <w:p>
            <w:pPr>
              <w:spacing w:after="0"/>
            </w:pPr>
            <w:r>
              <w:rPr>
                <w:rFonts w:ascii="Calibri" w:hAnsi="Calibri"/>
                <w:sz w:val="18"/>
              </w:rPr>
              <w:t>Edital nº 023/2026; PNCP nº 13830336000123-1-000051/2026</w:t>
            </w:r>
          </w:p>
        </w:tc>
        <w:tc>
          <w:tcPr>
            <w:tcW w:type="dxa" w:w="1872"/>
            <w:vAlign w:val="center"/>
            <w:tcMar>
              <w:top w:w="80" w:type="dxa"/>
              <w:start w:w="120" w:type="dxa"/>
              <w:bottom w:w="80" w:type="dxa"/>
              <w:end w:w="120" w:type="dxa"/>
            </w:tcMar>
          </w:tcPr>
          <w:p>
            <w:pPr>
              <w:spacing w:after="0"/>
            </w:pPr>
            <w:r>
              <w:rPr>
                <w:rFonts w:ascii="Calibri" w:hAnsi="Calibri"/>
                <w:sz w:val="18"/>
              </w:rPr>
              <w:t>Comunicação de dados privativa LAN-to-LAN, concentradores de 10 Gbps, fibra óptica, link dedicado de 4 Gbps full duplex, rotas redundantes e equipamentos inclusos</w:t>
            </w:r>
          </w:p>
        </w:tc>
        <w:tc>
          <w:tcPr>
            <w:tcW w:type="dxa" w:w="1872"/>
            <w:vAlign w:val="center"/>
            <w:tcMar>
              <w:top w:w="80" w:type="dxa"/>
              <w:start w:w="120" w:type="dxa"/>
              <w:bottom w:w="80" w:type="dxa"/>
              <w:end w:w="120" w:type="dxa"/>
            </w:tcMar>
          </w:tcPr>
          <w:p>
            <w:pPr>
              <w:spacing w:after="0"/>
            </w:pPr>
            <w:r>
              <w:rPr>
                <w:rFonts w:ascii="Calibri" w:hAnsi="Calibri"/>
                <w:sz w:val="18"/>
              </w:rPr>
              <w:t>Referência técnica sem preço unitário isolado usado diretamente</w:t>
            </w:r>
          </w:p>
        </w:tc>
        <w:tc>
          <w:tcPr>
            <w:tcW w:type="dxa" w:w="1872"/>
            <w:vAlign w:val="center"/>
            <w:tcMar>
              <w:top w:w="80" w:type="dxa"/>
              <w:start w:w="120" w:type="dxa"/>
              <w:bottom w:w="80" w:type="dxa"/>
              <w:end w:w="120" w:type="dxa"/>
            </w:tcMar>
          </w:tcPr>
          <w:p>
            <w:pPr>
              <w:spacing w:after="0"/>
            </w:pPr>
            <w:r>
              <w:rPr>
                <w:rFonts w:ascii="Calibri" w:hAnsi="Calibri"/>
                <w:sz w:val="18"/>
              </w:rPr>
              <w:t>Referência técnica para interligação privativa de alta capacidade por fibra entre pontos centrais.</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Ubarana/SP</w:t>
            </w:r>
          </w:p>
        </w:tc>
        <w:tc>
          <w:tcPr>
            <w:tcW w:type="dxa" w:w="1872"/>
            <w:vAlign w:val="center"/>
            <w:tcMar>
              <w:top w:w="80" w:type="dxa"/>
              <w:start w:w="120" w:type="dxa"/>
              <w:bottom w:w="80" w:type="dxa"/>
              <w:end w:w="120" w:type="dxa"/>
            </w:tcMar>
          </w:tcPr>
          <w:p>
            <w:pPr>
              <w:spacing w:after="0"/>
            </w:pPr>
            <w:r>
              <w:rPr>
                <w:rFonts w:ascii="Calibri" w:hAnsi="Calibri"/>
                <w:sz w:val="18"/>
              </w:rPr>
              <w:t>Edital nº 19/2026; PNCP nº 65708786000141-1-000038/2026</w:t>
            </w:r>
          </w:p>
        </w:tc>
        <w:tc>
          <w:tcPr>
            <w:tcW w:type="dxa" w:w="1872"/>
            <w:vAlign w:val="center"/>
            <w:tcMar>
              <w:top w:w="80" w:type="dxa"/>
              <w:start w:w="120" w:type="dxa"/>
              <w:bottom w:w="80" w:type="dxa"/>
              <w:end w:w="120" w:type="dxa"/>
            </w:tcMar>
          </w:tcPr>
          <w:p>
            <w:pPr>
              <w:spacing w:after="0"/>
            </w:pPr>
            <w:r>
              <w:rPr>
                <w:rFonts w:ascii="Calibri" w:hAnsi="Calibri"/>
                <w:sz w:val="18"/>
              </w:rPr>
              <w:t>Serviço continuado de interligação de dados entre setores da Administração Pública; rede LAN-to-LAN por fibra óptica dedicada, capacidade agregada de até 10 Gbps, ponto concentrador e link dedicado</w:t>
            </w:r>
          </w:p>
        </w:tc>
        <w:tc>
          <w:tcPr>
            <w:tcW w:type="dxa" w:w="1872"/>
            <w:vAlign w:val="center"/>
            <w:tcMar>
              <w:top w:w="80" w:type="dxa"/>
              <w:start w:w="120" w:type="dxa"/>
              <w:bottom w:w="80" w:type="dxa"/>
              <w:end w:w="120" w:type="dxa"/>
            </w:tcMar>
          </w:tcPr>
          <w:p>
            <w:pPr>
              <w:spacing w:after="0"/>
            </w:pPr>
            <w:r>
              <w:rPr>
                <w:rFonts w:ascii="Calibri" w:hAnsi="Calibri"/>
                <w:sz w:val="18"/>
              </w:rPr>
              <w:t>R$ 138.000,00 homologado para item de interligação de dados; valor total registrado R$ 184.399,92</w:t>
            </w:r>
          </w:p>
        </w:tc>
        <w:tc>
          <w:tcPr>
            <w:tcW w:type="dxa" w:w="1872"/>
            <w:vAlign w:val="center"/>
            <w:tcMar>
              <w:top w:w="80" w:type="dxa"/>
              <w:start w:w="120" w:type="dxa"/>
              <w:bottom w:w="80" w:type="dxa"/>
              <w:end w:w="120" w:type="dxa"/>
            </w:tcMar>
          </w:tcPr>
          <w:p>
            <w:pPr>
              <w:spacing w:after="0"/>
            </w:pPr>
            <w:r>
              <w:rPr>
                <w:rFonts w:ascii="Calibri" w:hAnsi="Calibri"/>
                <w:sz w:val="18"/>
              </w:rPr>
              <w:t>Referência técnica auxiliar de contratação de conectividade privada entre pontos administrativos, sem equivalência direta com 25 Gbps.</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Água Clara/MS</w:t>
            </w:r>
          </w:p>
        </w:tc>
        <w:tc>
          <w:tcPr>
            <w:tcW w:type="dxa" w:w="1872"/>
            <w:vAlign w:val="center"/>
            <w:tcMar>
              <w:top w:w="80" w:type="dxa"/>
              <w:start w:w="120" w:type="dxa"/>
              <w:bottom w:w="80" w:type="dxa"/>
              <w:end w:w="120" w:type="dxa"/>
            </w:tcMar>
          </w:tcPr>
          <w:p>
            <w:pPr>
              <w:spacing w:after="0"/>
            </w:pPr>
            <w:r>
              <w:rPr>
                <w:rFonts w:ascii="Calibri" w:hAnsi="Calibri"/>
                <w:sz w:val="18"/>
              </w:rPr>
              <w:t>Pregão Eletrônico; PNCP nº 03184066000177-1-000029/2025</w:t>
            </w:r>
          </w:p>
        </w:tc>
        <w:tc>
          <w:tcPr>
            <w:tcW w:type="dxa" w:w="1872"/>
            <w:vAlign w:val="center"/>
            <w:tcMar>
              <w:top w:w="80" w:type="dxa"/>
              <w:start w:w="120" w:type="dxa"/>
              <w:bottom w:w="80" w:type="dxa"/>
              <w:end w:w="120" w:type="dxa"/>
            </w:tcMar>
          </w:tcPr>
          <w:p>
            <w:pPr>
              <w:spacing w:after="0"/>
            </w:pPr>
            <w:r>
              <w:rPr>
                <w:rFonts w:ascii="Calibri" w:hAnsi="Calibri"/>
                <w:sz w:val="18"/>
              </w:rPr>
              <w:t>Serviços LAN-to-LAN de 1 Gbps para múltiplas unidades</w:t>
            </w:r>
          </w:p>
        </w:tc>
        <w:tc>
          <w:tcPr>
            <w:tcW w:type="dxa" w:w="1872"/>
            <w:vAlign w:val="center"/>
            <w:tcMar>
              <w:top w:w="80" w:type="dxa"/>
              <w:start w:w="120" w:type="dxa"/>
              <w:bottom w:w="80" w:type="dxa"/>
              <w:end w:w="120" w:type="dxa"/>
            </w:tcMar>
          </w:tcPr>
          <w:p>
            <w:pPr>
              <w:spacing w:after="0"/>
            </w:pPr>
            <w:r>
              <w:rPr>
                <w:rFonts w:ascii="Calibri" w:hAnsi="Calibri"/>
                <w:sz w:val="18"/>
              </w:rPr>
              <w:t>Itens homologados em torno de R$ 765,43/mês por ponto de 1 Gbps</w:t>
            </w:r>
          </w:p>
        </w:tc>
        <w:tc>
          <w:tcPr>
            <w:tcW w:type="dxa" w:w="1872"/>
            <w:vAlign w:val="center"/>
            <w:tcMar>
              <w:top w:w="80" w:type="dxa"/>
              <w:start w:w="120" w:type="dxa"/>
              <w:bottom w:w="80" w:type="dxa"/>
              <w:end w:w="120" w:type="dxa"/>
            </w:tcMar>
          </w:tcPr>
          <w:p>
            <w:pPr>
              <w:spacing w:after="0"/>
            </w:pPr>
            <w:r>
              <w:rPr>
                <w:rFonts w:ascii="Calibri" w:hAnsi="Calibri"/>
                <w:sz w:val="18"/>
              </w:rPr>
              <w:t>Referência técnica de contratação por pontos LAN-to-LAN, sem equivalência direta com 25 Gbps.</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Jaguariúna/SP</w:t>
            </w:r>
          </w:p>
        </w:tc>
        <w:tc>
          <w:tcPr>
            <w:tcW w:type="dxa" w:w="1872"/>
            <w:vAlign w:val="center"/>
            <w:tcMar>
              <w:top w:w="80" w:type="dxa"/>
              <w:start w:w="120" w:type="dxa"/>
              <w:bottom w:w="80" w:type="dxa"/>
              <w:end w:w="120" w:type="dxa"/>
            </w:tcMar>
          </w:tcPr>
          <w:p>
            <w:pPr>
              <w:spacing w:after="0"/>
            </w:pPr>
            <w:r>
              <w:rPr>
                <w:rFonts w:ascii="Calibri" w:hAnsi="Calibri"/>
                <w:sz w:val="18"/>
              </w:rPr>
              <w:t>Edital PL-674/2024; PE nº 90081/2024; PNCP nº 46410866000171-1-000610/2024</w:t>
            </w:r>
          </w:p>
        </w:tc>
        <w:tc>
          <w:tcPr>
            <w:tcW w:type="dxa" w:w="1872"/>
            <w:vAlign w:val="center"/>
            <w:tcMar>
              <w:top w:w="80" w:type="dxa"/>
              <w:start w:w="120" w:type="dxa"/>
              <w:bottom w:w="80" w:type="dxa"/>
              <w:end w:w="120" w:type="dxa"/>
            </w:tcMar>
          </w:tcPr>
          <w:p>
            <w:pPr>
              <w:spacing w:after="0"/>
            </w:pPr>
            <w:r>
              <w:rPr>
                <w:rFonts w:ascii="Calibri" w:hAnsi="Calibri"/>
                <w:sz w:val="18"/>
              </w:rPr>
              <w:t>Link dedicado simétrico de 10 Gbps e link compartilhado de Internet</w:t>
            </w:r>
          </w:p>
        </w:tc>
        <w:tc>
          <w:tcPr>
            <w:tcW w:type="dxa" w:w="1872"/>
            <w:vAlign w:val="center"/>
            <w:tcMar>
              <w:top w:w="80" w:type="dxa"/>
              <w:start w:w="120" w:type="dxa"/>
              <w:bottom w:w="80" w:type="dxa"/>
              <w:end w:w="120" w:type="dxa"/>
            </w:tcMar>
          </w:tcPr>
          <w:p>
            <w:pPr>
              <w:spacing w:after="0"/>
            </w:pPr>
            <w:r>
              <w:rPr>
                <w:rFonts w:ascii="Calibri" w:hAnsi="Calibri"/>
                <w:sz w:val="18"/>
              </w:rPr>
              <w:t>Referência auxiliar sem uso direto como preço unitário do enlace de 25 Gbps</w:t>
            </w:r>
          </w:p>
        </w:tc>
        <w:tc>
          <w:tcPr>
            <w:tcW w:type="dxa" w:w="1872"/>
            <w:vAlign w:val="center"/>
            <w:tcMar>
              <w:top w:w="80" w:type="dxa"/>
              <w:start w:w="120" w:type="dxa"/>
              <w:bottom w:w="80" w:type="dxa"/>
              <w:end w:w="120" w:type="dxa"/>
            </w:tcMar>
          </w:tcPr>
          <w:p>
            <w:pPr>
              <w:spacing w:after="0"/>
            </w:pPr>
            <w:r>
              <w:rPr>
                <w:rFonts w:ascii="Calibri" w:hAnsi="Calibri"/>
                <w:sz w:val="18"/>
              </w:rPr>
              <w:t>Referência técnica para enlace dedicado de alta capacidade, simétrico e com requisitos de desempenho.</w:t>
            </w:r>
          </w:p>
        </w:tc>
      </w:tr>
      <w:tr>
        <w:tc>
          <w:tcPr>
            <w:tcW w:type="dxa" w:w="1872"/>
            <w:vAlign w:val="center"/>
            <w:tcMar>
              <w:top w:w="80" w:type="dxa"/>
              <w:start w:w="120" w:type="dxa"/>
              <w:bottom w:w="80" w:type="dxa"/>
              <w:end w:w="120" w:type="dxa"/>
            </w:tcMar>
          </w:tcPr>
          <w:p>
            <w:pPr>
              <w:spacing w:after="0"/>
            </w:pPr>
            <w:r>
              <w:rPr>
                <w:rFonts w:ascii="Calibri" w:hAnsi="Calibri"/>
                <w:sz w:val="18"/>
              </w:rPr>
              <w:t>Justiça Federal do Rio Grande do Sul / TRF4</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90012/2025; Ata de Registro de Preços nº 10/2025; PNCP relacionado a 00508903000188-1-002018/2025</w:t>
            </w:r>
          </w:p>
        </w:tc>
        <w:tc>
          <w:tcPr>
            <w:tcW w:type="dxa" w:w="1872"/>
            <w:vAlign w:val="center"/>
            <w:tcMar>
              <w:top w:w="80" w:type="dxa"/>
              <w:start w:w="120" w:type="dxa"/>
              <w:bottom w:w="80" w:type="dxa"/>
              <w:end w:w="120" w:type="dxa"/>
            </w:tcMar>
          </w:tcPr>
          <w:p>
            <w:pPr>
              <w:spacing w:after="0"/>
            </w:pPr>
            <w:r>
              <w:rPr>
                <w:rFonts w:ascii="Calibri" w:hAnsi="Calibri"/>
                <w:sz w:val="18"/>
              </w:rPr>
              <w:t>Serviços de comunicação de dados dedicados e exclusivos para acesso à Internet e comunicação ponto-a-ponto entre sites via Metro Ethernet/LAN-to-LAN, camada 2</w:t>
            </w:r>
          </w:p>
        </w:tc>
        <w:tc>
          <w:tcPr>
            <w:tcW w:type="dxa" w:w="1872"/>
            <w:vAlign w:val="center"/>
            <w:tcMar>
              <w:top w:w="80" w:type="dxa"/>
              <w:start w:w="120" w:type="dxa"/>
              <w:bottom w:w="80" w:type="dxa"/>
              <w:end w:w="120" w:type="dxa"/>
            </w:tcMar>
          </w:tcPr>
          <w:p>
            <w:pPr>
              <w:spacing w:after="0"/>
            </w:pPr>
            <w:r>
              <w:rPr>
                <w:rFonts w:ascii="Calibri" w:hAnsi="Calibri"/>
                <w:sz w:val="18"/>
              </w:rPr>
              <w:t>Referência técnica sem valor unitário usado diretamente</w:t>
            </w:r>
          </w:p>
        </w:tc>
        <w:tc>
          <w:tcPr>
            <w:tcW w:type="dxa" w:w="1872"/>
            <w:vAlign w:val="center"/>
            <w:tcMar>
              <w:top w:w="80" w:type="dxa"/>
              <w:start w:w="120" w:type="dxa"/>
              <w:bottom w:w="80" w:type="dxa"/>
              <w:end w:w="120" w:type="dxa"/>
            </w:tcMar>
          </w:tcPr>
          <w:p>
            <w:pPr>
              <w:spacing w:after="0"/>
            </w:pPr>
            <w:r>
              <w:rPr>
                <w:rFonts w:ascii="Calibri" w:hAnsi="Calibri"/>
                <w:sz w:val="18"/>
              </w:rPr>
              <w:t>Referência para modelagem do enlace Sede-Foro como link dedicado ponto-a-ponto, e não como MPLS.</w:t>
            </w:r>
          </w:p>
        </w:tc>
      </w:tr>
    </w:tbl>
    <w:p/>
    <w:p>
      <w:r>
        <w:t xml:space="preserve">Não foi localizada referência pública plenamente equivalente a enlace dedicado ponto-a-ponto de 25 Gbps entre dois prédios com a mesma finalidade de replicação e contingência. Por isso, a estimativa do item 11 usa faixa paramétrica de alta capacidade, com ponto médio de R$ 45.000,00/mês, calculado por </w:t>
      </w:r>
      <w:r>
        <w:rPr>
          <w:rFonts w:ascii="Consolas" w:hAnsi="Consolas"/>
          <w:sz w:val="20"/>
        </w:rPr>
        <w:t>(R$ 30.000,00 + R$ 60.000,00) / 2</w:t>
      </w:r>
      <w:r>
        <w:t>. As referências acima demonstram aderência técnica de mercado para LAN-to-LAN, Metro Ethernet, fibra dedicada e interligação privada de pontos centrais, mas não foram tratadas como equivalentes perfeitas de preço.</w:t>
      </w:r>
    </w:p>
    <w:p>
      <w:pPr>
        <w:pStyle w:val="Heading2"/>
      </w:pPr>
      <w:r>
        <w:t>5.4 Referências PNCP para links dedicados de Internet</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Referência</w:t>
            </w:r>
          </w:p>
        </w:tc>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Pregão/licitação e PNCP</w:t>
            </w:r>
          </w:p>
        </w:tc>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Valor usado</w:t>
            </w:r>
          </w:p>
        </w:tc>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Uso na estimativa</w:t>
            </w:r>
          </w:p>
        </w:tc>
      </w:tr>
      <w:tr>
        <w:tc>
          <w:tcPr>
            <w:tcW w:type="dxa" w:w="2340"/>
            <w:vAlign w:val="center"/>
            <w:tcMar>
              <w:top w:w="80" w:type="dxa"/>
              <w:start w:w="120" w:type="dxa"/>
              <w:bottom w:w="80" w:type="dxa"/>
              <w:end w:w="120" w:type="dxa"/>
            </w:tcMar>
          </w:tcPr>
          <w:p>
            <w:pPr>
              <w:spacing w:after="0"/>
            </w:pPr>
            <w:r>
              <w:rPr>
                <w:rFonts w:ascii="Calibri" w:hAnsi="Calibri"/>
                <w:sz w:val="18"/>
              </w:rPr>
              <w:t>Município de Ipojuca/PE</w:t>
            </w:r>
          </w:p>
        </w:tc>
        <w:tc>
          <w:tcPr>
            <w:tcW w:type="dxa" w:w="2340"/>
            <w:vAlign w:val="center"/>
            <w:tcMar>
              <w:top w:w="80" w:type="dxa"/>
              <w:start w:w="120" w:type="dxa"/>
              <w:bottom w:w="80" w:type="dxa"/>
              <w:end w:w="120" w:type="dxa"/>
            </w:tcMar>
          </w:tcPr>
          <w:p>
            <w:pPr>
              <w:spacing w:after="0"/>
            </w:pPr>
            <w:r>
              <w:rPr>
                <w:rFonts w:ascii="Calibri" w:hAnsi="Calibri"/>
                <w:sz w:val="18"/>
              </w:rPr>
              <w:t>Pregão Eletrônico nº 035/PMI-SMAD/2024; Processo nº 188/PMI-SMAD/2024; PNCP nº 11294386000108-1-000244/2024; https://pncp.gov.br/app/editais/11294386000108/2024/244</w:t>
            </w:r>
          </w:p>
        </w:tc>
        <w:tc>
          <w:tcPr>
            <w:tcW w:type="dxa" w:w="2340"/>
            <w:vAlign w:val="center"/>
            <w:tcMar>
              <w:top w:w="80" w:type="dxa"/>
              <w:start w:w="120" w:type="dxa"/>
              <w:bottom w:w="80" w:type="dxa"/>
              <w:end w:w="120" w:type="dxa"/>
            </w:tcMar>
          </w:tcPr>
          <w:p>
            <w:pPr>
              <w:spacing w:after="0"/>
            </w:pPr>
            <w:r>
              <w:rPr>
                <w:rFonts w:ascii="Calibri" w:hAnsi="Calibri"/>
                <w:sz w:val="18"/>
              </w:rPr>
              <w:t>R$ 15.687,33/mês por link</w:t>
            </w:r>
          </w:p>
        </w:tc>
        <w:tc>
          <w:tcPr>
            <w:tcW w:type="dxa" w:w="2340"/>
            <w:vAlign w:val="center"/>
            <w:tcMar>
              <w:top w:w="80" w:type="dxa"/>
              <w:start w:w="120" w:type="dxa"/>
              <w:bottom w:w="80" w:type="dxa"/>
              <w:end w:w="120" w:type="dxa"/>
            </w:tcMar>
          </w:tcPr>
          <w:p>
            <w:pPr>
              <w:spacing w:after="0"/>
            </w:pPr>
            <w:r>
              <w:rPr>
                <w:rFonts w:ascii="Calibri" w:hAnsi="Calibri"/>
                <w:sz w:val="18"/>
              </w:rPr>
              <w:t>Base direta para Internet dedicada 4 Gbps com Anti-DDoS.</w:t>
            </w:r>
          </w:p>
        </w:tc>
      </w:tr>
      <w:tr>
        <w:tc>
          <w:tcPr>
            <w:tcW w:type="dxa" w:w="2340"/>
            <w:vAlign w:val="center"/>
            <w:tcMar>
              <w:top w:w="80" w:type="dxa"/>
              <w:start w:w="120" w:type="dxa"/>
              <w:bottom w:w="80" w:type="dxa"/>
              <w:end w:w="120" w:type="dxa"/>
            </w:tcMar>
          </w:tcPr>
          <w:p>
            <w:pPr>
              <w:spacing w:after="0"/>
            </w:pPr>
            <w:r>
              <w:rPr>
                <w:rFonts w:ascii="Calibri" w:hAnsi="Calibri"/>
                <w:sz w:val="18"/>
              </w:rPr>
              <w:t>Município de Chapecó/SC</w:t>
            </w:r>
          </w:p>
        </w:tc>
        <w:tc>
          <w:tcPr>
            <w:tcW w:type="dxa" w:w="2340"/>
            <w:vAlign w:val="center"/>
            <w:tcMar>
              <w:top w:w="80" w:type="dxa"/>
              <w:start w:w="120" w:type="dxa"/>
              <w:bottom w:w="80" w:type="dxa"/>
              <w:end w:w="120" w:type="dxa"/>
            </w:tcMar>
          </w:tcPr>
          <w:p>
            <w:pPr>
              <w:spacing w:after="0"/>
            </w:pPr>
            <w:r>
              <w:rPr>
                <w:rFonts w:ascii="Calibri" w:hAnsi="Calibri"/>
                <w:sz w:val="18"/>
              </w:rPr>
              <w:t>Pregão Eletrônico nº 153/2026; Processo nº 153/2026; PNCP nº 83021808000182-1-000200/2026; https://pncp.gov.br/app/editais/83021808000182/2026/200</w:t>
            </w:r>
          </w:p>
        </w:tc>
        <w:tc>
          <w:tcPr>
            <w:tcW w:type="dxa" w:w="2340"/>
            <w:vAlign w:val="center"/>
            <w:tcMar>
              <w:top w:w="80" w:type="dxa"/>
              <w:start w:w="120" w:type="dxa"/>
              <w:bottom w:w="80" w:type="dxa"/>
              <w:end w:w="120" w:type="dxa"/>
            </w:tcMar>
          </w:tcPr>
          <w:p>
            <w:pPr>
              <w:spacing w:after="0"/>
            </w:pPr>
            <w:r>
              <w:rPr>
                <w:rFonts w:ascii="Calibri" w:hAnsi="Calibri"/>
                <w:sz w:val="18"/>
              </w:rPr>
              <w:t>R$ 1.920,00/mês para IP /27; R$ 8.500,00 e R$ 7.500,00/mês para links de 5 Gbps</w:t>
            </w:r>
          </w:p>
        </w:tc>
        <w:tc>
          <w:tcPr>
            <w:tcW w:type="dxa" w:w="2340"/>
            <w:vAlign w:val="center"/>
            <w:tcMar>
              <w:top w:w="80" w:type="dxa"/>
              <w:start w:w="120" w:type="dxa"/>
              <w:bottom w:w="80" w:type="dxa"/>
              <w:end w:w="120" w:type="dxa"/>
            </w:tcMar>
          </w:tcPr>
          <w:p>
            <w:pPr>
              <w:spacing w:after="0"/>
            </w:pPr>
            <w:r>
              <w:rPr>
                <w:rFonts w:ascii="Calibri" w:hAnsi="Calibri"/>
                <w:sz w:val="18"/>
              </w:rPr>
              <w:t>Ajuste para bloco de 32 IPs e referência de alta capacidade.</w:t>
            </w:r>
          </w:p>
        </w:tc>
      </w:tr>
      <w:tr>
        <w:tc>
          <w:tcPr>
            <w:tcW w:type="dxa" w:w="2340"/>
            <w:vAlign w:val="center"/>
            <w:tcMar>
              <w:top w:w="80" w:type="dxa"/>
              <w:start w:w="120" w:type="dxa"/>
              <w:bottom w:w="80" w:type="dxa"/>
              <w:end w:w="120" w:type="dxa"/>
            </w:tcMar>
          </w:tcPr>
          <w:p>
            <w:pPr>
              <w:spacing w:after="0"/>
            </w:pPr>
            <w:r>
              <w:rPr>
                <w:rFonts w:ascii="Calibri" w:hAnsi="Calibri"/>
                <w:sz w:val="18"/>
              </w:rPr>
              <w:t>Câmara Legislativa do Distrito Federal</w:t>
            </w:r>
          </w:p>
        </w:tc>
        <w:tc>
          <w:tcPr>
            <w:tcW w:type="dxa" w:w="2340"/>
            <w:vAlign w:val="center"/>
            <w:tcMar>
              <w:top w:w="80" w:type="dxa"/>
              <w:start w:w="120" w:type="dxa"/>
              <w:bottom w:w="80" w:type="dxa"/>
              <w:end w:w="120" w:type="dxa"/>
            </w:tcMar>
          </w:tcPr>
          <w:p>
            <w:pPr>
              <w:spacing w:after="0"/>
            </w:pPr>
            <w:r>
              <w:rPr>
                <w:rFonts w:ascii="Calibri" w:hAnsi="Calibri"/>
                <w:sz w:val="18"/>
              </w:rPr>
              <w:t>Aviso de Contratação Direta nº 90021/2025; PNCP nº 26963645000113-1-000038/2025; https://pncp.gov.br/app/compras/26963645000113/2025/38</w:t>
            </w:r>
          </w:p>
        </w:tc>
        <w:tc>
          <w:tcPr>
            <w:tcW w:type="dxa" w:w="2340"/>
            <w:vAlign w:val="center"/>
            <w:tcMar>
              <w:top w:w="80" w:type="dxa"/>
              <w:start w:w="120" w:type="dxa"/>
              <w:bottom w:w="80" w:type="dxa"/>
              <w:end w:w="120" w:type="dxa"/>
            </w:tcMar>
          </w:tcPr>
          <w:p>
            <w:pPr>
              <w:spacing w:after="0"/>
            </w:pPr>
            <w:r>
              <w:rPr>
                <w:rFonts w:ascii="Calibri" w:hAnsi="Calibri"/>
                <w:sz w:val="18"/>
              </w:rPr>
              <w:t>R$ 21.600,00 homologado para link de dados de 2 Gbps com Anti-DDoS; R$ 23.520,00 com ajuste /27</w:t>
            </w:r>
          </w:p>
        </w:tc>
        <w:tc>
          <w:tcPr>
            <w:tcW w:type="dxa" w:w="2340"/>
            <w:vAlign w:val="center"/>
            <w:tcMar>
              <w:top w:w="80" w:type="dxa"/>
              <w:start w:w="120" w:type="dxa"/>
              <w:bottom w:w="80" w:type="dxa"/>
              <w:end w:w="120" w:type="dxa"/>
            </w:tcMar>
          </w:tcPr>
          <w:p>
            <w:pPr>
              <w:spacing w:after="0"/>
            </w:pPr>
            <w:r>
              <w:rPr>
                <w:rFonts w:ascii="Calibri" w:hAnsi="Calibri"/>
                <w:sz w:val="18"/>
              </w:rPr>
              <w:t>Referência direta homologada para 2 Gbps com Anti-DDoS.</w:t>
            </w:r>
          </w:p>
        </w:tc>
      </w:tr>
      <w:tr>
        <w:tc>
          <w:tcPr>
            <w:tcW w:type="dxa" w:w="2340"/>
            <w:vAlign w:val="center"/>
            <w:tcMar>
              <w:top w:w="80" w:type="dxa"/>
              <w:start w:w="120" w:type="dxa"/>
              <w:bottom w:w="80" w:type="dxa"/>
              <w:end w:w="120" w:type="dxa"/>
            </w:tcMar>
          </w:tcPr>
          <w:p>
            <w:pPr>
              <w:spacing w:after="0"/>
            </w:pPr>
            <w:r>
              <w:rPr>
                <w:rFonts w:ascii="Calibri" w:hAnsi="Calibri"/>
                <w:sz w:val="18"/>
              </w:rPr>
              <w:t>Instituto de Pesquisa Econômica Aplicada - IPEA</w:t>
            </w:r>
          </w:p>
        </w:tc>
        <w:tc>
          <w:tcPr>
            <w:tcW w:type="dxa" w:w="2340"/>
            <w:vAlign w:val="center"/>
            <w:tcMar>
              <w:top w:w="80" w:type="dxa"/>
              <w:start w:w="120" w:type="dxa"/>
              <w:bottom w:w="80" w:type="dxa"/>
              <w:end w:w="120" w:type="dxa"/>
            </w:tcMar>
          </w:tcPr>
          <w:p>
            <w:pPr>
              <w:spacing w:after="0"/>
            </w:pPr>
            <w:r>
              <w:rPr>
                <w:rFonts w:ascii="Calibri" w:hAnsi="Calibri"/>
                <w:sz w:val="18"/>
              </w:rPr>
              <w:t>Pregão Eletrônico nº 90047/2026; PNCP nº 33892175000100-1-000033/2026; https://pncp.gov.br/app/compras/33892175000100/2026/33</w:t>
            </w:r>
          </w:p>
        </w:tc>
        <w:tc>
          <w:tcPr>
            <w:tcW w:type="dxa" w:w="2340"/>
            <w:vAlign w:val="center"/>
            <w:tcMar>
              <w:top w:w="80" w:type="dxa"/>
              <w:start w:w="120" w:type="dxa"/>
              <w:bottom w:w="80" w:type="dxa"/>
              <w:end w:w="120" w:type="dxa"/>
            </w:tcMar>
          </w:tcPr>
          <w:p>
            <w:pPr>
              <w:spacing w:after="0"/>
            </w:pPr>
            <w:r>
              <w:rPr>
                <w:rFonts w:ascii="Calibri" w:hAnsi="Calibri"/>
                <w:sz w:val="18"/>
              </w:rPr>
              <w:t>R$ 3.600,00/mês estimado por link de 2 Gbps com Anti-DDoS; R$ 5.520,00 com ajuste /27</w:t>
            </w:r>
          </w:p>
        </w:tc>
        <w:tc>
          <w:tcPr>
            <w:tcW w:type="dxa" w:w="2340"/>
            <w:vAlign w:val="center"/>
            <w:tcMar>
              <w:top w:w="80" w:type="dxa"/>
              <w:start w:w="120" w:type="dxa"/>
              <w:bottom w:w="80" w:type="dxa"/>
              <w:end w:w="120" w:type="dxa"/>
            </w:tcMar>
          </w:tcPr>
          <w:p>
            <w:pPr>
              <w:spacing w:after="0"/>
            </w:pPr>
            <w:r>
              <w:rPr>
                <w:rFonts w:ascii="Calibri" w:hAnsi="Calibri"/>
                <w:sz w:val="18"/>
              </w:rPr>
              <w:t>Referência direta estimada para 2 Gbps com Anti-DDoS.</w:t>
            </w:r>
          </w:p>
        </w:tc>
      </w:tr>
      <w:tr>
        <w:tc>
          <w:tcPr>
            <w:tcW w:type="dxa" w:w="2340"/>
            <w:vAlign w:val="center"/>
            <w:tcMar>
              <w:top w:w="80" w:type="dxa"/>
              <w:start w:w="120" w:type="dxa"/>
              <w:bottom w:w="80" w:type="dxa"/>
              <w:end w:w="120" w:type="dxa"/>
            </w:tcMar>
          </w:tcPr>
          <w:p>
            <w:pPr>
              <w:spacing w:after="0"/>
            </w:pPr>
            <w:r>
              <w:rPr>
                <w:rFonts w:ascii="Calibri" w:hAnsi="Calibri"/>
                <w:sz w:val="18"/>
              </w:rPr>
              <w:t>Ministério da Defesa</w:t>
            </w:r>
          </w:p>
        </w:tc>
        <w:tc>
          <w:tcPr>
            <w:tcW w:type="dxa" w:w="2340"/>
            <w:vAlign w:val="center"/>
            <w:tcMar>
              <w:top w:w="80" w:type="dxa"/>
              <w:start w:w="120" w:type="dxa"/>
              <w:bottom w:w="80" w:type="dxa"/>
              <w:end w:w="120" w:type="dxa"/>
            </w:tcMar>
          </w:tcPr>
          <w:p>
            <w:pPr>
              <w:spacing w:after="0"/>
            </w:pPr>
            <w:r>
              <w:rPr>
                <w:rFonts w:ascii="Calibri" w:hAnsi="Calibri"/>
                <w:sz w:val="18"/>
              </w:rPr>
              <w:t>Dispensa com Disputa nº 292/2025; Processo nº 60591.000013/2025-64; PNCP nº 03277610000125-1-000586/2025; https://pncp.gov.br/app/editais/03277610000125/2025/586</w:t>
            </w:r>
          </w:p>
        </w:tc>
        <w:tc>
          <w:tcPr>
            <w:tcW w:type="dxa" w:w="2340"/>
            <w:vAlign w:val="center"/>
            <w:tcMar>
              <w:top w:w="80" w:type="dxa"/>
              <w:start w:w="120" w:type="dxa"/>
              <w:bottom w:w="80" w:type="dxa"/>
              <w:end w:w="120" w:type="dxa"/>
            </w:tcMar>
          </w:tcPr>
          <w:p>
            <w:pPr>
              <w:spacing w:after="0"/>
            </w:pPr>
            <w:r>
              <w:rPr>
                <w:rFonts w:ascii="Calibri" w:hAnsi="Calibri"/>
                <w:sz w:val="18"/>
              </w:rPr>
              <w:t>R$ 5.161,89/mês para link 1 Gbps; R$ 1.450,00/mês para Anti-DDoS</w:t>
            </w:r>
          </w:p>
        </w:tc>
        <w:tc>
          <w:tcPr>
            <w:tcW w:type="dxa" w:w="2340"/>
            <w:vAlign w:val="center"/>
            <w:tcMar>
              <w:top w:w="80" w:type="dxa"/>
              <w:start w:w="120" w:type="dxa"/>
              <w:bottom w:w="80" w:type="dxa"/>
              <w:end w:w="120" w:type="dxa"/>
            </w:tcMar>
          </w:tcPr>
          <w:p>
            <w:pPr>
              <w:spacing w:after="0"/>
            </w:pPr>
            <w:r>
              <w:rPr>
                <w:rFonts w:ascii="Calibri" w:hAnsi="Calibri"/>
                <w:sz w:val="18"/>
              </w:rPr>
              <w:t>Composição paramétrica dos links de 2 Gbps do Foro.</w:t>
            </w:r>
          </w:p>
        </w:tc>
      </w:tr>
      <w:tr>
        <w:tc>
          <w:tcPr>
            <w:tcW w:type="dxa" w:w="2340"/>
            <w:vAlign w:val="center"/>
            <w:tcMar>
              <w:top w:w="80" w:type="dxa"/>
              <w:start w:w="120" w:type="dxa"/>
              <w:bottom w:w="80" w:type="dxa"/>
              <w:end w:w="120" w:type="dxa"/>
            </w:tcMar>
          </w:tcPr>
          <w:p>
            <w:pPr>
              <w:spacing w:after="0"/>
            </w:pPr>
            <w:r>
              <w:rPr>
                <w:rFonts w:ascii="Calibri" w:hAnsi="Calibri"/>
                <w:sz w:val="18"/>
              </w:rPr>
              <w:t>Município de Itaipulândia/PR</w:t>
            </w:r>
          </w:p>
        </w:tc>
        <w:tc>
          <w:tcPr>
            <w:tcW w:type="dxa" w:w="2340"/>
            <w:vAlign w:val="center"/>
            <w:tcMar>
              <w:top w:w="80" w:type="dxa"/>
              <w:start w:w="120" w:type="dxa"/>
              <w:bottom w:w="80" w:type="dxa"/>
              <w:end w:w="120" w:type="dxa"/>
            </w:tcMar>
          </w:tcPr>
          <w:p>
            <w:pPr>
              <w:spacing w:after="0"/>
            </w:pPr>
            <w:r>
              <w:rPr>
                <w:rFonts w:ascii="Calibri" w:hAnsi="Calibri"/>
                <w:sz w:val="18"/>
              </w:rPr>
              <w:t>Pregão Eletrônico nº 52/2025; Processo nº 98/2025; PNCP nº 95725057000164-1-000097/2025; https://pncp.gov.br/app/editais/95725057000164/2025/97</w:t>
            </w:r>
          </w:p>
        </w:tc>
        <w:tc>
          <w:tcPr>
            <w:tcW w:type="dxa" w:w="2340"/>
            <w:vAlign w:val="center"/>
            <w:tcMar>
              <w:top w:w="80" w:type="dxa"/>
              <w:start w:w="120" w:type="dxa"/>
              <w:bottom w:w="80" w:type="dxa"/>
              <w:end w:w="120" w:type="dxa"/>
            </w:tcMar>
          </w:tcPr>
          <w:p>
            <w:pPr>
              <w:spacing w:after="0"/>
            </w:pPr>
            <w:r>
              <w:rPr>
                <w:rFonts w:ascii="Calibri" w:hAnsi="Calibri"/>
                <w:sz w:val="18"/>
              </w:rPr>
              <w:t>Valor global estimado R$ 450.000,00</w:t>
            </w:r>
          </w:p>
        </w:tc>
        <w:tc>
          <w:tcPr>
            <w:tcW w:type="dxa" w:w="2340"/>
            <w:vAlign w:val="center"/>
            <w:tcMar>
              <w:top w:w="80" w:type="dxa"/>
              <w:start w:w="120" w:type="dxa"/>
              <w:bottom w:w="80" w:type="dxa"/>
              <w:end w:w="120" w:type="dxa"/>
            </w:tcMar>
          </w:tcPr>
          <w:p>
            <w:pPr>
              <w:spacing w:after="0"/>
            </w:pPr>
            <w:r>
              <w:rPr>
                <w:rFonts w:ascii="Calibri" w:hAnsi="Calibri"/>
                <w:sz w:val="18"/>
              </w:rPr>
              <w:t>Referência técnica para links dedicados simétricos de 2 Gbps.</w:t>
            </w:r>
          </w:p>
        </w:tc>
      </w:tr>
      <w:tr>
        <w:tc>
          <w:tcPr>
            <w:tcW w:type="dxa" w:w="2340"/>
            <w:vAlign w:val="center"/>
            <w:tcMar>
              <w:top w:w="80" w:type="dxa"/>
              <w:start w:w="120" w:type="dxa"/>
              <w:bottom w:w="80" w:type="dxa"/>
              <w:end w:w="120" w:type="dxa"/>
            </w:tcMar>
          </w:tcPr>
          <w:p>
            <w:pPr>
              <w:spacing w:after="0"/>
            </w:pPr>
            <w:r>
              <w:rPr>
                <w:rFonts w:ascii="Calibri" w:hAnsi="Calibri"/>
                <w:sz w:val="18"/>
              </w:rPr>
              <w:t>CAU/BA</w:t>
            </w:r>
          </w:p>
        </w:tc>
        <w:tc>
          <w:tcPr>
            <w:tcW w:type="dxa" w:w="2340"/>
            <w:vAlign w:val="center"/>
            <w:tcMar>
              <w:top w:w="80" w:type="dxa"/>
              <w:start w:w="120" w:type="dxa"/>
              <w:bottom w:w="80" w:type="dxa"/>
              <w:end w:w="120" w:type="dxa"/>
            </w:tcMar>
          </w:tcPr>
          <w:p>
            <w:pPr>
              <w:spacing w:after="0"/>
            </w:pPr>
            <w:r>
              <w:rPr>
                <w:rFonts w:ascii="Calibri" w:hAnsi="Calibri"/>
                <w:sz w:val="18"/>
              </w:rPr>
              <w:t>Dispensa nº 5/2025; Processo nº 00152.000202/2025-84; PNCP nº 15158665000103-1-000011/2025; https://pncp.gov.br/app/editais/15158665000103/2025/11</w:t>
            </w:r>
          </w:p>
        </w:tc>
        <w:tc>
          <w:tcPr>
            <w:tcW w:type="dxa" w:w="2340"/>
            <w:vAlign w:val="center"/>
            <w:tcMar>
              <w:top w:w="80" w:type="dxa"/>
              <w:start w:w="120" w:type="dxa"/>
              <w:bottom w:w="80" w:type="dxa"/>
              <w:end w:w="120" w:type="dxa"/>
            </w:tcMar>
          </w:tcPr>
          <w:p>
            <w:pPr>
              <w:spacing w:after="0"/>
            </w:pPr>
            <w:r>
              <w:rPr>
                <w:rFonts w:ascii="Calibri" w:hAnsi="Calibri"/>
                <w:sz w:val="18"/>
              </w:rPr>
              <w:t>Relatório de cotação com referência de 2 Gbps Anti-DDoS</w:t>
            </w:r>
          </w:p>
        </w:tc>
        <w:tc>
          <w:tcPr>
            <w:tcW w:type="dxa" w:w="2340"/>
            <w:vAlign w:val="center"/>
            <w:tcMar>
              <w:top w:w="80" w:type="dxa"/>
              <w:start w:w="120" w:type="dxa"/>
              <w:bottom w:w="80" w:type="dxa"/>
              <w:end w:w="120" w:type="dxa"/>
            </w:tcMar>
          </w:tcPr>
          <w:p>
            <w:pPr>
              <w:spacing w:after="0"/>
            </w:pPr>
            <w:r>
              <w:rPr>
                <w:rFonts w:ascii="Calibri" w:hAnsi="Calibri"/>
                <w:sz w:val="18"/>
              </w:rPr>
              <w:t>Referência auxiliar, sem uso direto na fórmula.</w:t>
            </w:r>
          </w:p>
        </w:tc>
      </w:tr>
      <w:tr>
        <w:tc>
          <w:tcPr>
            <w:tcW w:type="dxa" w:w="2340"/>
            <w:vAlign w:val="center"/>
            <w:tcMar>
              <w:top w:w="80" w:type="dxa"/>
              <w:start w:w="120" w:type="dxa"/>
              <w:bottom w:w="80" w:type="dxa"/>
              <w:end w:w="120" w:type="dxa"/>
            </w:tcMar>
          </w:tcPr>
          <w:p>
            <w:pPr>
              <w:spacing w:after="0"/>
            </w:pPr>
            <w:r>
              <w:rPr>
                <w:rFonts w:ascii="Calibri" w:hAnsi="Calibri"/>
                <w:sz w:val="18"/>
              </w:rPr>
              <w:t>ANCINE</w:t>
            </w:r>
          </w:p>
        </w:tc>
        <w:tc>
          <w:tcPr>
            <w:tcW w:type="dxa" w:w="2340"/>
            <w:vAlign w:val="center"/>
            <w:tcMar>
              <w:top w:w="80" w:type="dxa"/>
              <w:start w:w="120" w:type="dxa"/>
              <w:bottom w:w="80" w:type="dxa"/>
              <w:end w:w="120" w:type="dxa"/>
            </w:tcMar>
          </w:tcPr>
          <w:p>
            <w:pPr>
              <w:spacing w:after="0"/>
            </w:pPr>
            <w:r>
              <w:rPr>
                <w:rFonts w:ascii="Calibri" w:hAnsi="Calibri"/>
                <w:sz w:val="18"/>
              </w:rPr>
              <w:t>Pregão Eletrônico nº 90007/2025; Processo nº 01416.005548/2024-11; PNCP nº 04884574000120-1-000056/2025; https://pncp.gov.br/app/editais/04884574000120/2025/56</w:t>
            </w:r>
          </w:p>
        </w:tc>
        <w:tc>
          <w:tcPr>
            <w:tcW w:type="dxa" w:w="2340"/>
            <w:vAlign w:val="center"/>
            <w:tcMar>
              <w:top w:w="80" w:type="dxa"/>
              <w:start w:w="120" w:type="dxa"/>
              <w:bottom w:w="80" w:type="dxa"/>
              <w:end w:w="120" w:type="dxa"/>
            </w:tcMar>
          </w:tcPr>
          <w:p>
            <w:pPr>
              <w:spacing w:after="0"/>
            </w:pPr>
            <w:r>
              <w:rPr>
                <w:rFonts w:ascii="Calibri" w:hAnsi="Calibri"/>
                <w:sz w:val="18"/>
              </w:rPr>
              <w:t>R$ 7.296,87/mês por link de Internet 1 Gbps com DDoS</w:t>
            </w:r>
          </w:p>
        </w:tc>
        <w:tc>
          <w:tcPr>
            <w:tcW w:type="dxa" w:w="2340"/>
            <w:vAlign w:val="center"/>
            <w:tcMar>
              <w:top w:w="80" w:type="dxa"/>
              <w:start w:w="120" w:type="dxa"/>
              <w:bottom w:w="80" w:type="dxa"/>
              <w:end w:w="120" w:type="dxa"/>
            </w:tcMar>
          </w:tcPr>
          <w:p>
            <w:pPr>
              <w:spacing w:after="0"/>
            </w:pPr>
            <w:r>
              <w:rPr>
                <w:rFonts w:ascii="Calibri" w:hAnsi="Calibri"/>
                <w:sz w:val="18"/>
              </w:rPr>
              <w:t>Validação de prática de Anti-DDoS e SLA.</w:t>
            </w:r>
          </w:p>
        </w:tc>
      </w:tr>
    </w:tbl>
    <w:p/>
    <w:p>
      <w:pPr>
        <w:pStyle w:val="Heading2"/>
      </w:pPr>
      <w:r>
        <w:t>5.5 Como se chegou ao valor preliminar?</w:t>
      </w:r>
    </w:p>
    <w:p>
      <w:r>
        <w:t xml:space="preserve">Para MPLS 1 Gbps, foi adotada mediana das referências PNCP normalizadas de SENAR/MS, Brusque/SC, Chapecó/SC e ANCINE, resultando em R$ 7.122,50 por circuito/mês. Como há 2 localidades com essa capacidade, o valor mensal do grupo é </w:t>
      </w:r>
      <w:r>
        <w:rPr>
          <w:rFonts w:ascii="Consolas" w:hAnsi="Consolas"/>
          <w:sz w:val="20"/>
        </w:rPr>
        <w:t>2 x R$ 7.122,50 = R$ 14.245,00</w:t>
      </w:r>
      <w:r>
        <w:t>.</w:t>
      </w:r>
    </w:p>
    <w:p>
      <w:r>
        <w:t xml:space="preserve">Para MPLS 500 Mbps, foi adotada mediana das referências PNCP de Chapecó/SC, ANCINE e Cascavel/PR, resultando em R$ 1.900,00 por circuito/mês. Como há 3 localidades com essa capacidade, o valor mensal do grupo é </w:t>
      </w:r>
      <w:r>
        <w:rPr>
          <w:rFonts w:ascii="Consolas" w:hAnsi="Consolas"/>
          <w:sz w:val="20"/>
        </w:rPr>
        <w:t>3 x R$ 1.900,00 = R$ 5.700,00</w:t>
      </w:r>
      <w:r>
        <w:t>.</w:t>
      </w:r>
    </w:p>
    <w:p>
      <w:r>
        <w:t xml:space="preserve">Para MPLS 100 Mbps, foi adotada mediana das referências PNCP de CODEVASF, Cascavel/PR e Chapecó/SC, resultando em R$ 1.900,00 por circuito/mês. Como há 5 localidades com essa capacidade, o valor mensal do grupo é </w:t>
      </w:r>
      <w:r>
        <w:rPr>
          <w:rFonts w:ascii="Consolas" w:hAnsi="Consolas"/>
          <w:sz w:val="20"/>
        </w:rPr>
        <w:t>5 x R$ 1.900,00 = R$ 9.500,00</w:t>
      </w:r>
      <w:r>
        <w:t>.</w:t>
      </w:r>
    </w:p>
    <w:p>
      <w:r>
        <w:t xml:space="preserve">Para o link dedicado Sede-Foro de 25 Gbps, a estimativa utiliza faixa paramétrica de alta capacidade, pois as referências PNCP localizadas confirmam a viabilidade técnica de LAN-to-LAN, Metro Ethernet e fibra dedicada, mas não apresentam três itens idênticos de 25 Gbps com a mesma finalidade. O valor unitário adotado é o ponto médio da faixa: </w:t>
      </w:r>
      <w:r>
        <w:rPr>
          <w:rFonts w:ascii="Consolas" w:hAnsi="Consolas"/>
          <w:sz w:val="20"/>
        </w:rPr>
        <w:t>(R$ 30.000,00 + R$ 60.000,00) / 2 = R$ 45.000,00 por mês</w:t>
      </w:r>
      <w:r>
        <w:t>.</w:t>
      </w:r>
    </w:p>
    <w:p>
      <w:r>
        <w:t xml:space="preserve">Para os links de Internet da Sede, a referência de Ipojuca/PE foi utilizada por possuir aderência direta a Internet dedicada de 4 Gbps com Anti-DDoS e regra de links por empresas diferentes. Como o requisito do TRT10 exige 32 IPs fixos por link, acrescentou-se o valor de IP /27 identificado na memória de cálculo de Chapecó/SC: </w:t>
      </w:r>
      <w:r>
        <w:rPr>
          <w:rFonts w:ascii="Consolas" w:hAnsi="Consolas"/>
          <w:sz w:val="20"/>
        </w:rPr>
        <w:t>R$ 15.687,33 + R$ 1.920,00 = R$ 17.607,33 por link/mês</w:t>
      </w:r>
      <w:r>
        <w:t xml:space="preserve">. Como são 3 links, o valor mensal do grupo é </w:t>
      </w:r>
      <w:r>
        <w:rPr>
          <w:rFonts w:ascii="Consolas" w:hAnsi="Consolas"/>
          <w:sz w:val="20"/>
        </w:rPr>
        <w:t>3 x R$ 17.607,33 = R$ 52.821,99</w:t>
      </w:r>
      <w:r>
        <w:t>.</w:t>
      </w:r>
    </w:p>
    <w:p>
      <w:r>
        <w:t xml:space="preserve">Para os links de Internet do Foro, a estimativa adotou mediana conservadora entre referência direta estimada do IPEA, referência direta homologada da Câmara Legislativa do Distrito Federal e composição paramétrica do Ministério da Defesa, acrescidas ou comparadas ao ajuste /27 de Chapecó/SC quando o item de origem não trazia bloco de 32 IPs fixos. O valor unitário adotado é R$ 13.693,78 por link/mês. Como são 2 links, o valor mensal do grupo é </w:t>
      </w:r>
      <w:r>
        <w:rPr>
          <w:rFonts w:ascii="Consolas" w:hAnsi="Consolas"/>
          <w:sz w:val="20"/>
        </w:rPr>
        <w:t>2 x R$ 13.693,78 = R$ 27.387,56</w:t>
      </w:r>
      <w:r>
        <w:t>.</w:t>
      </w:r>
    </w:p>
    <w:p>
      <w:pPr>
        <w:pStyle w:val="Heading2"/>
      </w:pPr>
      <w:r>
        <w:t>5.6 Contratações similares a manter nos autos</w:t>
      </w:r>
    </w:p>
    <w:p>
      <w:r>
        <w:t xml:space="preserve">Devem compor a instrução de preços as referências MPLS, LAN-to-LAN/link dedicado e Internet descritas neste item, juntamente com os artefatos baixados em </w:t>
      </w:r>
      <w:r>
        <w:rPr>
          <w:rFonts w:ascii="Consolas" w:hAnsi="Consolas"/>
          <w:sz w:val="20"/>
        </w:rPr>
        <w:t>PNCP_REFERENCIAS_MPLS</w:t>
      </w:r>
      <w:r>
        <w:t xml:space="preserve">, </w:t>
      </w:r>
      <w:r>
        <w:rPr>
          <w:rFonts w:ascii="Consolas" w:hAnsi="Consolas"/>
          <w:sz w:val="20"/>
        </w:rPr>
        <w:t>PNCP_REFERENCIAS_INTERNET</w:t>
      </w:r>
      <w:r>
        <w:t xml:space="preserve">, </w:t>
      </w:r>
      <w:r>
        <w:rPr>
          <w:rFonts w:ascii="Consolas" w:hAnsi="Consolas"/>
          <w:sz w:val="20"/>
        </w:rPr>
        <w:t>PNCP_PESQUISA_AMPLA_REDE10</w:t>
      </w:r>
      <w:r>
        <w:t xml:space="preserve"> e </w:t>
      </w:r>
      <w:r>
        <w:rPr>
          <w:rFonts w:ascii="Consolas" w:hAnsi="Consolas"/>
          <w:sz w:val="20"/>
        </w:rPr>
        <w:t>PNCP_CACHE</w:t>
      </w:r>
      <w:r>
        <w:t>. Devem ser preservados detalhes da contratação, itens, resultados, arquivos anexos, editais, termos de referência, propostas, relatórios de cotação e memórias de cálculo.</w:t>
      </w:r>
    </w:p>
    <w:p>
      <w:pPr>
        <w:pStyle w:val="Heading1"/>
      </w:pPr>
      <w:r>
        <w:t>6. Data Pretendida para Conclusão da Contratação</w:t>
      </w:r>
    </w:p>
    <w:p>
      <w:pPr>
        <w:pStyle w:val="Heading2"/>
      </w:pPr>
      <w:r>
        <w:t>6.1 Data de início de vigência</w:t>
      </w:r>
    </w:p>
    <w:p>
      <w:r>
        <w:t>A contratação deve estar vigente em tempo hábil para implantação, testes, operação assistida e entrada em produção controlada, preservando a continuidade da conectividade das unidades e dos acessos de Internet.</w:t>
      </w:r>
    </w:p>
    <w:p>
      <w:pPr>
        <w:pStyle w:val="Heading2"/>
      </w:pPr>
      <w:r>
        <w:t>6.2 É serviço continuado?</w:t>
      </w:r>
    </w:p>
    <w:p>
      <w:r>
        <w:t>Sim. É serviço continuado de telecomunicações e comunicação de dados, essencial para o funcionamento permanente das unidades do TRT10.</w:t>
      </w:r>
    </w:p>
    <w:p>
      <w:pPr>
        <w:pStyle w:val="Heading1"/>
      </w:pPr>
      <w:r>
        <w:t>7. Grau de Prioridade da Contratação</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Critério</w:t>
            </w:r>
          </w:p>
        </w:tc>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Marcação sugerida</w:t>
            </w:r>
          </w:p>
        </w:tc>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Justificativa</w:t>
            </w:r>
          </w:p>
        </w:tc>
      </w:tr>
      <w:tr>
        <w:tc>
          <w:tcPr>
            <w:tcW w:type="dxa" w:w="3120"/>
            <w:vAlign w:val="center"/>
            <w:tcMar>
              <w:top w:w="80" w:type="dxa"/>
              <w:start w:w="120" w:type="dxa"/>
              <w:bottom w:w="80" w:type="dxa"/>
              <w:end w:w="120" w:type="dxa"/>
            </w:tcMar>
          </w:tcPr>
          <w:p>
            <w:pPr>
              <w:spacing w:after="0"/>
            </w:pPr>
            <w:r>
              <w:rPr>
                <w:rFonts w:ascii="Calibri" w:hAnsi="Calibri"/>
                <w:sz w:val="18"/>
              </w:rPr>
              <w:t>Impacto se não atendida</w:t>
            </w:r>
          </w:p>
        </w:tc>
        <w:tc>
          <w:tcPr>
            <w:tcW w:type="dxa" w:w="3120"/>
            <w:vAlign w:val="center"/>
            <w:tcMar>
              <w:top w:w="80" w:type="dxa"/>
              <w:start w:w="120" w:type="dxa"/>
              <w:bottom w:w="80" w:type="dxa"/>
              <w:end w:w="120" w:type="dxa"/>
            </w:tcMar>
          </w:tcPr>
          <w:p>
            <w:pPr>
              <w:spacing w:after="0"/>
            </w:pPr>
            <w:r>
              <w:rPr>
                <w:rFonts w:ascii="Calibri" w:hAnsi="Calibri"/>
                <w:sz w:val="18"/>
              </w:rPr>
              <w:t>Grave</w:t>
            </w:r>
          </w:p>
        </w:tc>
        <w:tc>
          <w:tcPr>
            <w:tcW w:type="dxa" w:w="3120"/>
            <w:vAlign w:val="center"/>
            <w:tcMar>
              <w:top w:w="80" w:type="dxa"/>
              <w:start w:w="120" w:type="dxa"/>
              <w:bottom w:w="80" w:type="dxa"/>
              <w:end w:w="120" w:type="dxa"/>
            </w:tcMar>
          </w:tcPr>
          <w:p>
            <w:pPr>
              <w:spacing w:after="0"/>
            </w:pPr>
            <w:r>
              <w:rPr>
                <w:rFonts w:ascii="Calibri" w:hAnsi="Calibri"/>
                <w:sz w:val="18"/>
              </w:rPr>
              <w:t>Pode afetar disponibilidade, desempenho, segurança, acesso à Internet, contingência e comunicação institucional.</w:t>
            </w:r>
          </w:p>
        </w:tc>
      </w:tr>
      <w:tr>
        <w:tc>
          <w:tcPr>
            <w:tcW w:type="dxa" w:w="3120"/>
            <w:vAlign w:val="center"/>
            <w:tcMar>
              <w:top w:w="80" w:type="dxa"/>
              <w:start w:w="120" w:type="dxa"/>
              <w:bottom w:w="80" w:type="dxa"/>
              <w:end w:w="120" w:type="dxa"/>
            </w:tcMar>
          </w:tcPr>
          <w:p>
            <w:pPr>
              <w:spacing w:after="0"/>
            </w:pPr>
            <w:r>
              <w:rPr>
                <w:rFonts w:ascii="Calibri" w:hAnsi="Calibri"/>
                <w:sz w:val="18"/>
              </w:rPr>
              <w:t>Urgência</w:t>
            </w:r>
          </w:p>
        </w:tc>
        <w:tc>
          <w:tcPr>
            <w:tcW w:type="dxa" w:w="3120"/>
            <w:vAlign w:val="center"/>
            <w:tcMar>
              <w:top w:w="80" w:type="dxa"/>
              <w:start w:w="120" w:type="dxa"/>
              <w:bottom w:w="80" w:type="dxa"/>
              <w:end w:w="120" w:type="dxa"/>
            </w:tcMar>
          </w:tcPr>
          <w:p>
            <w:pPr>
              <w:spacing w:after="0"/>
            </w:pPr>
            <w:r>
              <w:rPr>
                <w:rFonts w:ascii="Calibri" w:hAnsi="Calibri"/>
                <w:sz w:val="18"/>
              </w:rPr>
              <w:t>Alta para planejamento</w:t>
            </w:r>
          </w:p>
        </w:tc>
        <w:tc>
          <w:tcPr>
            <w:tcW w:type="dxa" w:w="3120"/>
            <w:vAlign w:val="center"/>
            <w:tcMar>
              <w:top w:w="80" w:type="dxa"/>
              <w:start w:w="120" w:type="dxa"/>
              <w:bottom w:w="80" w:type="dxa"/>
              <w:end w:w="120" w:type="dxa"/>
            </w:tcMar>
          </w:tcPr>
          <w:p>
            <w:pPr>
              <w:spacing w:after="0"/>
            </w:pPr>
            <w:r>
              <w:rPr>
                <w:rFonts w:ascii="Calibri" w:hAnsi="Calibri"/>
                <w:sz w:val="18"/>
              </w:rPr>
              <w:t>Há necessidade de pesquisa de preços, implantação, testes e entrada em produção dos acessos de Internet centralizados.</w:t>
            </w:r>
          </w:p>
        </w:tc>
      </w:tr>
      <w:tr>
        <w:tc>
          <w:tcPr>
            <w:tcW w:type="dxa" w:w="3120"/>
            <w:vAlign w:val="center"/>
            <w:tcMar>
              <w:top w:w="80" w:type="dxa"/>
              <w:start w:w="120" w:type="dxa"/>
              <w:bottom w:w="80" w:type="dxa"/>
              <w:end w:w="120" w:type="dxa"/>
            </w:tcMar>
          </w:tcPr>
          <w:p>
            <w:pPr>
              <w:spacing w:after="0"/>
            </w:pPr>
            <w:r>
              <w:rPr>
                <w:rFonts w:ascii="Calibri" w:hAnsi="Calibri"/>
                <w:sz w:val="18"/>
              </w:rPr>
              <w:t>Tendência do problema</w:t>
            </w:r>
          </w:p>
        </w:tc>
        <w:tc>
          <w:tcPr>
            <w:tcW w:type="dxa" w:w="3120"/>
            <w:vAlign w:val="center"/>
            <w:tcMar>
              <w:top w:w="80" w:type="dxa"/>
              <w:start w:w="120" w:type="dxa"/>
              <w:bottom w:w="80" w:type="dxa"/>
              <w:end w:w="120" w:type="dxa"/>
            </w:tcMar>
          </w:tcPr>
          <w:p>
            <w:pPr>
              <w:spacing w:after="0"/>
            </w:pPr>
            <w:r>
              <w:rPr>
                <w:rFonts w:ascii="Calibri" w:hAnsi="Calibri"/>
                <w:sz w:val="18"/>
              </w:rPr>
              <w:t>Irá piorar</w:t>
            </w:r>
          </w:p>
        </w:tc>
        <w:tc>
          <w:tcPr>
            <w:tcW w:type="dxa" w:w="3120"/>
            <w:vAlign w:val="center"/>
            <w:tcMar>
              <w:top w:w="80" w:type="dxa"/>
              <w:start w:w="120" w:type="dxa"/>
              <w:bottom w:w="80" w:type="dxa"/>
              <w:end w:w="120" w:type="dxa"/>
            </w:tcMar>
          </w:tcPr>
          <w:p>
            <w:pPr>
              <w:spacing w:after="0"/>
            </w:pPr>
            <w:r>
              <w:rPr>
                <w:rFonts w:ascii="Calibri" w:hAnsi="Calibri"/>
                <w:sz w:val="18"/>
              </w:rPr>
              <w:t>A demanda por tráfego, segurança centralizada, Anti-DDoS, replicação e continuidade tende a crescer.</w:t>
            </w:r>
          </w:p>
        </w:tc>
      </w:tr>
    </w:tbl>
    <w:p/>
    <w:p>
      <w:pPr>
        <w:pStyle w:val="Heading1"/>
      </w:pPr>
      <w:r>
        <w:t>8. Vinculação ou Dependência com Outra Demanda</w:t>
      </w:r>
    </w:p>
    <w:p>
      <w:r>
        <w:t>A demanda possui vinculação técnica com o contrato SD-WAN vigente, redes JT, Infovia, firewalls, segurança perimetral, monitoramento, datacenter, DNS, autenticação, roteamento e políticas de continuidade. Os links de Internet centralizados fazem parte do objeto e deverão operar como os pontos oficiais de egressão à Internet do Tribunal.</w:t>
      </w:r>
    </w:p>
    <w:p>
      <w:pPr>
        <w:pStyle w:val="Heading1"/>
      </w:pPr>
      <w:r>
        <w:t>9. Objetivo Estratégico</w:t>
      </w:r>
    </w:p>
    <w:p>
      <w:r>
        <w:t>A contratação se alinha ao objetivo estratégico de aprimorar a governança de TIC e a proteção de dados, contribuindo para disponibilidade, continuidade, segurança, monitoramento e desempenho dos serviços digitais do TRT10.</w:t>
      </w:r>
    </w:p>
    <w:p>
      <w:pPr>
        <w:pStyle w:val="Heading1"/>
      </w:pPr>
      <w:r>
        <w:t>10. Informações SIGEO</w:t>
      </w:r>
    </w:p>
    <w:p>
      <w:pPr>
        <w:pStyle w:val="Heading2"/>
      </w:pPr>
      <w:r>
        <w:t>10.1 Processo administrativo da contratação em vigor</w:t>
      </w:r>
    </w:p>
    <w:p>
      <w:r>
        <w:rPr>
          <w:b/>
        </w:rPr>
        <w:t>Processos de referência histórica:</w:t>
      </w:r>
      <w:r>
        <w:t xml:space="preserve"> SEI 0000030-87.2023.5.10.8000, SEI 0007608-72.2021.5.10.8000 e SEI 0002027-76.2021.5.10.8000.</w:t>
      </w:r>
    </w:p>
    <w:p>
      <w:pPr>
        <w:pStyle w:val="Heading2"/>
      </w:pPr>
      <w:r>
        <w:t>10.2 Contrato ou ARP em vigor</w:t>
      </w:r>
    </w:p>
    <w:p>
      <w:r>
        <w:t>Contrato 131/2023 relacionado a link IP dedicado com SD-WAN. A área de contratos deverá conferir instrumentos vigentes que interajam com a conectividade institucional para preservar continuidade operacional durante a implantação.</w:t>
      </w:r>
    </w:p>
    <w:p>
      <w:pPr>
        <w:pStyle w:val="Heading2"/>
      </w:pPr>
      <w:r>
        <w:t>10.3 Item SIGEO</w:t>
      </w:r>
    </w:p>
    <w:p>
      <w:r>
        <w:t>Serviços continuados de telecomunicações, comunicação de dados, Internet dedicada, Anti-DDoS e interconexão de unidades.</w:t>
      </w:r>
    </w:p>
    <w:p>
      <w:pPr>
        <w:pStyle w:val="Heading2"/>
      </w:pPr>
      <w:r>
        <w:t>10.4 Estimativa para 12 meses no SIGEO</w:t>
      </w:r>
    </w:p>
    <w:p>
      <w:r>
        <w:t xml:space="preserve">Estimativa de planejamento: </w:t>
      </w:r>
      <w:r>
        <w:rPr>
          <w:b/>
        </w:rPr>
        <w:t>R$ 1.855.854,60</w:t>
      </w:r>
      <w:r>
        <w:t xml:space="preserve"> para 12 meses.</w:t>
      </w:r>
    </w:p>
    <w:p>
      <w:pPr>
        <w:pStyle w:val="Heading1"/>
      </w:pPr>
      <w:r>
        <w:t>11. Servidor Responsável pela Demanda</w:t>
      </w:r>
    </w:p>
    <w:p>
      <w:r>
        <w:t>Nome: Edson Mateus de Sousa - Coordenador da CDTEC</w:t>
      </w:r>
    </w:p>
    <w:p>
      <w:r>
        <w:t>E-mail funcional: cdtec@trt10.jus.br</w:t>
      </w:r>
    </w:p>
    <w:p>
      <w:r>
        <w:t>Telefone: (61) 3348-1249 / 1288 / 1280 / 1188</w:t>
      </w:r>
    </w:p>
    <w:p>
      <w:pPr>
        <w:pStyle w:val="Heading1"/>
      </w:pPr>
      <w:r>
        <w:t>12. Figura 1 - Arquitetura Proposta</w:t>
      </w:r>
    </w:p>
    <w:p>
      <w:pPr>
        <w:jc w:val="center"/>
      </w:pPr>
      <w:r>
        <w:drawing>
          <wp:inline xmlns:a="http://schemas.openxmlformats.org/drawingml/2006/main" xmlns:pic="http://schemas.openxmlformats.org/drawingml/2006/picture">
            <wp:extent cx="5669280" cy="4123113"/>
            <wp:docPr id="1" name="Picture 1"/>
            <wp:cNvGraphicFramePr>
              <a:graphicFrameLocks noChangeAspect="1"/>
            </wp:cNvGraphicFramePr>
            <a:graphic>
              <a:graphicData uri="http://schemas.openxmlformats.org/drawingml/2006/picture">
                <pic:pic>
                  <pic:nvPicPr>
                    <pic:cNvPr id="0" name="diagrama_topologia_revisada.png"/>
                    <pic:cNvPicPr/>
                  </pic:nvPicPr>
                  <pic:blipFill>
                    <a:blip r:embed="rId11"/>
                    <a:stretch>
                      <a:fillRect/>
                    </a:stretch>
                  </pic:blipFill>
                  <pic:spPr>
                    <a:xfrm>
                      <a:off x="0" y="0"/>
                      <a:ext cx="5669280" cy="4123113"/>
                    </a:xfrm>
                    <a:prstGeom prst="rect"/>
                  </pic:spPr>
                </pic:pic>
              </a:graphicData>
            </a:graphic>
          </wp:inline>
        </w:drawing>
      </w:r>
    </w:p>
    <w:p>
      <w:pPr>
        <w:jc w:val="center"/>
      </w:pPr>
      <w:r>
        <w:rPr>
          <w:i/>
          <w:sz w:val="18"/>
        </w:rPr>
        <w:t>Figura 1 - Arquitetura proposta MPLS, SD-WAN, link dedicado Sede-Foro e Internet centralizada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6"/>
      </w:rPr>
      <w:t>DFD MPLS TRT10 humanizado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1426A"/>
        <w:sz w:val="16"/>
      </w:rPr>
      <w:t>TRT10 - Artefatos de Contratacao MPLS + SD-WAN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1426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67A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7B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