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DOCUMENTO DE FORMALIZAÇÃO DE DEMANDA (DFD)</w:t>
      </w:r>
    </w:p>
    <w:p>
      <w:r>
        <w:rPr>
          <w:b/>
        </w:rPr>
        <w:t>Órgão:</w:t>
      </w:r>
      <w:r>
        <w:t xml:space="preserve"> Tribunal Regional do Trabalho da 10ª Região - TRT10</w:t>
      </w:r>
    </w:p>
    <w:p>
      <w:r>
        <w:rPr>
          <w:b/>
        </w:rPr>
        <w:t>Unidade demandante:</w:t>
      </w:r>
      <w:r>
        <w:t xml:space="preserve"> Coordenadoria de Infraestrutura de Tecnologia - CDTEC</w:t>
      </w:r>
    </w:p>
    <w:p>
      <w:r>
        <w:rPr>
          <w:b/>
        </w:rPr>
        <w:t>Objeto:</w:t>
      </w:r>
      <w:r>
        <w:t xml:space="preserve"> Contratação de serviços continuados de comunicação de dados por MPLS para interconexão das unidades do TRT10 à Sede, em arquitetura integrada com a SD-WAN vigente; contratação de link dedicado ponto-a-ponto de 25 Gbps entre a Sede e o Foro de Brasília; e contratação de links dedicados de Internet centralizados na Sede e no Foro, com Anti-DDoS e 32 IPs fixos por link.</w:t>
      </w:r>
    </w:p>
    <w:p>
      <w:r>
        <w:rPr>
          <w:b/>
        </w:rPr>
        <w:t>Versão:</w:t>
      </w:r>
      <w:r>
        <w:t xml:space="preserve"> Minuta técnica - conectividade MPLS/SD-WAN, link dedicado Sede-Foro e Internet centralizada</w:t>
      </w:r>
    </w:p>
    <w:p>
      <w:r>
        <w:rPr>
          <w:b/>
        </w:rPr>
        <w:t>Data:</w:t>
      </w:r>
      <w:r>
        <w:t xml:space="preserve"> 12/06/2026</w:t>
      </w:r>
    </w:p>
    <w:p>
      <w:pPr>
        <w:pStyle w:val="Heading1"/>
      </w:pPr>
      <w:r>
        <w:t>1. Unidade Demandante</w:t>
      </w:r>
    </w:p>
    <w:p>
      <w:pPr>
        <w:pStyle w:val="Heading2"/>
      </w:pPr>
      <w:r>
        <w:t>1.1 Nome da Unidade</w:t>
      </w:r>
    </w:p>
    <w:p>
      <w:r>
        <w:t>Coordenadoria de Infraestrutura de Tecnologia.</w:t>
      </w:r>
    </w:p>
    <w:p>
      <w:pPr>
        <w:pStyle w:val="Heading2"/>
      </w:pPr>
      <w:r>
        <w:t>1.2 Sigla da Unidade</w:t>
      </w:r>
    </w:p>
    <w:p>
      <w:r>
        <w:t>CDTEC.</w:t>
      </w:r>
    </w:p>
    <w:p>
      <w:pPr>
        <w:pStyle w:val="Heading1"/>
      </w:pPr>
      <w:r>
        <w:t>2. Justificativa da Necessidade da Contratação</w:t>
      </w:r>
    </w:p>
    <w:p>
      <w:pPr>
        <w:pStyle w:val="Heading2"/>
      </w:pPr>
      <w:r>
        <w:t>2.1 Justificativa da necessidade</w:t>
      </w:r>
    </w:p>
    <w:p>
      <w:r>
        <w:t>O TRT10 precisa de conectividade permanente, segura e resiliente entre suas unidades. Essa rede sustenta o Processo Judicial Eletrônico, os sistemas administrativos, os serviços internos de TIC, a autenticação, a colaboração institucional, o acesso a redes externas, a contingência, o suporte técnico e o atendimento ao público.</w:t>
      </w:r>
    </w:p>
    <w:p>
      <w:r>
        <w:t>A solução reúne três blocos que funcionam de forma coordenada:</w:t>
      </w:r>
    </w:p>
    <w:p>
      <w:pPr>
        <w:pStyle w:val="ListBullet"/>
      </w:pPr>
      <w:r>
        <w:t>rede MPLS para interconectar as 10 localidades à Sede, com capacidades equivalentes às capacidades dos links SD-WAN vigentes em cada localidade;</w:t>
      </w:r>
    </w:p>
    <w:p>
      <w:pPr>
        <w:pStyle w:val="ListBullet"/>
      </w:pPr>
      <w:r>
        <w:t>link dedicado ponto-a-ponto de 25 Gbps entre o Edifício Sede e o Foro de Brasília, para replicação, sincronização, backup, continuidade, redundância da Sede e uso do Foro como ponto contingencial de acesso das unidades;</w:t>
      </w:r>
    </w:p>
    <w:p>
      <w:pPr>
        <w:pStyle w:val="ListBullet"/>
      </w:pPr>
      <w:r>
        <w:t>links dedicados de Internet centralizados, sendo 3 links de 4 Gbps na Sede e 2 links de 2 Gbps no Foro de Brasília, cada link com Anti-DDoS e 32 IPs fixos, em itens separados e com provedores distintos por localidade.</w:t>
      </w:r>
    </w:p>
    <w:p>
      <w:r>
        <w:t>O objeto inclui os links de Internet dedicada como parte necessária da arquitetura de conectividade do Tribunal. Esses serão os únicos links de Internet do TRT10 no desenho pretendido, com acesso externo concentrado em pontos centrais, controlados, monitorados e protegidos. A Sede funcionará como ponto principal de egressão; o Foro de Brasília funcionará como ponto redundante, preparado para assumir tráfego de Internet e acesso das unidades em cenário de indisponibilidade, manutenção ou degradação relevante da Sede.</w:t>
      </w:r>
    </w:p>
    <w:p>
      <w:r>
        <w:t>Contratar 3 provedores distintos na Sede e 2 provedores distintos no Foro reduz o risco de uma mesma falha atingir todos os acessos de uma localidade. Esse cuidado cobre, por exemplo, indisponibilidade regional, bloqueio operacional, erro de roteamento, ataque volumétrico, falha de backbone ou incidente comercial. Cada link de Internet será licitado como item próprio. A mesma empresa não poderá vencer mais de um link de Internet na mesma localidade, mas poderá vencer um item da Sede e um item do Foro, pois os domínios de falha e as rotas físicas serão analisados por localidade.</w:t>
      </w:r>
    </w:p>
    <w:p>
      <w:r>
        <w:t>O Anti-DDoS por link é compatível com a função dos enlaces. Como a Internet centralizada concentrará tráfego institucional, cada link passa a ser ponto sensível para a disponibilidade dos serviços digitais. O bloco de 32 IPs fixos por link viabiliza publicação controlada de serviços, NAT, segmentação de borda, regras de segurança, balanceamento, contingência, reputação de endereços e segregação de ambientes. A entrega deve ocorrer por bloco IPv4 público fixo /27 ou arranjo equivalente que disponibilize 32 endereços públicos fixos por link, observadas as reservas técnicas usuais quando aplicáveis.</w:t>
      </w:r>
    </w:p>
    <w:p>
      <w:r>
        <w:t>Usar MPLS com a mesma capacidade nominal dos links SD-WAN reduz o risco de subdimensionamento em cenários de crise. Também evita que a Administração precise escolher, antes da falha, quais sistemas seriam degradados se uma camada ficasse indisponível. O link dedicado de 25 Gbps entre Sede e Foro não integra a malha MPLS; é uma interligação dedicada de alta capacidade para replicação, backup, continuidade e contingência.</w:t>
      </w:r>
    </w:p>
    <w:p>
      <w:pPr>
        <w:pStyle w:val="Heading2"/>
      </w:pPr>
      <w:r>
        <w:t>2.1.1 Soluções possíveis consideradas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Síntese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Avaliação</w:t>
            </w:r>
          </w:p>
        </w:tc>
      </w:tr>
      <w:tr>
        <w:tc>
          <w:tcPr>
            <w:tcW w:type="dxa" w:w="3120"/>
            <w:vAlign w:val="center"/>
            <w:tcMar>
              <w:top w:w="80" w:type="dxa"/>
              <w:start w:w="120" w:type="dxa"/>
              <w:bottom w:w="80" w:type="dxa"/>
              <w:end w:w="120" w:type="dxa"/>
            </w:tcMar>
          </w:tcPr>
          <w:p>
            <w:pPr>
              <w:spacing w:after="0"/>
            </w:pPr>
            <w:r>
              <w:rPr>
                <w:rFonts w:ascii="Calibri" w:hAnsi="Calibri"/>
                <w:sz w:val="18"/>
              </w:rPr>
              <w:t>Solução 1 - MPLS integrado à SD-WAN, link dedicado Sede-Foro e Internet centralizada</w:t>
            </w:r>
          </w:p>
        </w:tc>
        <w:tc>
          <w:tcPr>
            <w:tcW w:type="dxa" w:w="3120"/>
            <w:vAlign w:val="center"/>
            <w:tcMar>
              <w:top w:w="80" w:type="dxa"/>
              <w:start w:w="120" w:type="dxa"/>
              <w:bottom w:w="80" w:type="dxa"/>
              <w:end w:w="120" w:type="dxa"/>
            </w:tcMar>
          </w:tcPr>
          <w:p>
            <w:pPr>
              <w:spacing w:after="0"/>
            </w:pPr>
            <w:r>
              <w:rPr>
                <w:rFonts w:ascii="Calibri" w:hAnsi="Calibri"/>
                <w:sz w:val="18"/>
              </w:rPr>
              <w:t>Contratar MPLS para tráfego crítico, manter convivência com a SD-WAN vigente, contratar link dedicado de 25 Gbps entre Sede e Foro e centralizar a Internet em 3 links de 4 Gbps na Sede e 2 links de 2 Gbps no Foro, todos com Anti-DDoS e 32 IPs fixos.</w:t>
            </w:r>
          </w:p>
        </w:tc>
        <w:tc>
          <w:tcPr>
            <w:tcW w:type="dxa" w:w="3120"/>
            <w:vAlign w:val="center"/>
            <w:tcMar>
              <w:top w:w="80" w:type="dxa"/>
              <w:start w:w="120" w:type="dxa"/>
              <w:bottom w:w="80" w:type="dxa"/>
              <w:end w:w="120" w:type="dxa"/>
            </w:tcMar>
          </w:tcPr>
          <w:p>
            <w:pPr>
              <w:spacing w:after="0"/>
            </w:pPr>
            <w:r>
              <w:rPr>
                <w:rFonts w:ascii="Calibri" w:hAnsi="Calibri"/>
                <w:sz w:val="18"/>
              </w:rPr>
              <w:t>Alternativa preferencial. Combina rede privada, redundância total por capacidade, alta capacidade entre pontos centrais, proteção Anti-DDoS, centralização de segurança e provedores distintos nos pontos de Internet.</w:t>
            </w:r>
          </w:p>
        </w:tc>
      </w:tr>
      <w:tr>
        <w:tc>
          <w:tcPr>
            <w:tcW w:type="dxa" w:w="3120"/>
            <w:vAlign w:val="center"/>
            <w:tcMar>
              <w:top w:w="80" w:type="dxa"/>
              <w:start w:w="120" w:type="dxa"/>
              <w:bottom w:w="80" w:type="dxa"/>
              <w:end w:w="120" w:type="dxa"/>
            </w:tcMar>
          </w:tcPr>
          <w:p>
            <w:pPr>
              <w:spacing w:after="0"/>
            </w:pPr>
            <w:r>
              <w:rPr>
                <w:rFonts w:ascii="Calibri" w:hAnsi="Calibri"/>
                <w:sz w:val="18"/>
              </w:rPr>
              <w:t>Solução 2 - Internet distribuída em todas as unidades com VPN/SD-WAN</w:t>
            </w:r>
          </w:p>
        </w:tc>
        <w:tc>
          <w:tcPr>
            <w:tcW w:type="dxa" w:w="3120"/>
            <w:vAlign w:val="center"/>
            <w:tcMar>
              <w:top w:w="80" w:type="dxa"/>
              <w:start w:w="120" w:type="dxa"/>
              <w:bottom w:w="80" w:type="dxa"/>
              <w:end w:w="120" w:type="dxa"/>
            </w:tcMar>
          </w:tcPr>
          <w:p>
            <w:pPr>
              <w:spacing w:after="0"/>
            </w:pPr>
            <w:r>
              <w:rPr>
                <w:rFonts w:ascii="Calibri" w:hAnsi="Calibri"/>
                <w:sz w:val="18"/>
              </w:rPr>
              <w:t>Contratar ou manter saídas de Internet em cada localidade e criar túneis até os pontos centrais.</w:t>
            </w:r>
          </w:p>
        </w:tc>
        <w:tc>
          <w:tcPr>
            <w:tcW w:type="dxa" w:w="3120"/>
            <w:vAlign w:val="center"/>
            <w:tcMar>
              <w:top w:w="80" w:type="dxa"/>
              <w:start w:w="120" w:type="dxa"/>
              <w:bottom w:w="80" w:type="dxa"/>
              <w:end w:w="120" w:type="dxa"/>
            </w:tcMar>
          </w:tcPr>
          <w:p>
            <w:pPr>
              <w:spacing w:after="0"/>
            </w:pPr>
            <w:r>
              <w:rPr>
                <w:rFonts w:ascii="Calibri" w:hAnsi="Calibri"/>
                <w:sz w:val="18"/>
              </w:rPr>
              <w:t>Aumenta a superfície de ataque, dispersa políticas de segurança, amplia a complexidade de monitoramento e reduz o controle centralizado. Pode ser útil apenas como contingência excepcional.</w:t>
            </w:r>
          </w:p>
        </w:tc>
      </w:tr>
      <w:tr>
        <w:tc>
          <w:tcPr>
            <w:tcW w:type="dxa" w:w="3120"/>
            <w:vAlign w:val="center"/>
            <w:tcMar>
              <w:top w:w="80" w:type="dxa"/>
              <w:start w:w="120" w:type="dxa"/>
              <w:bottom w:w="80" w:type="dxa"/>
              <w:end w:w="120" w:type="dxa"/>
            </w:tcMar>
          </w:tcPr>
          <w:p>
            <w:pPr>
              <w:spacing w:after="0"/>
            </w:pPr>
            <w:r>
              <w:rPr>
                <w:rFonts w:ascii="Calibri" w:hAnsi="Calibri"/>
                <w:sz w:val="18"/>
              </w:rPr>
              <w:t>Solução 3 - Somente MPLS/rede privada sem links de Internet centralizados</w:t>
            </w:r>
          </w:p>
        </w:tc>
        <w:tc>
          <w:tcPr>
            <w:tcW w:type="dxa" w:w="3120"/>
            <w:vAlign w:val="center"/>
            <w:tcMar>
              <w:top w:w="80" w:type="dxa"/>
              <w:start w:w="120" w:type="dxa"/>
              <w:bottom w:w="80" w:type="dxa"/>
              <w:end w:w="120" w:type="dxa"/>
            </w:tcMar>
          </w:tcPr>
          <w:p>
            <w:pPr>
              <w:spacing w:after="0"/>
            </w:pPr>
            <w:r>
              <w:rPr>
                <w:rFonts w:ascii="Calibri" w:hAnsi="Calibri"/>
                <w:sz w:val="18"/>
              </w:rPr>
              <w:t>Contratar apenas a camada privada e depender de saídas de Internet apartadas.</w:t>
            </w:r>
          </w:p>
        </w:tc>
        <w:tc>
          <w:tcPr>
            <w:tcW w:type="dxa" w:w="3120"/>
            <w:vAlign w:val="center"/>
            <w:tcMar>
              <w:top w:w="80" w:type="dxa"/>
              <w:start w:w="120" w:type="dxa"/>
              <w:bottom w:w="80" w:type="dxa"/>
              <w:end w:w="120" w:type="dxa"/>
            </w:tcMar>
          </w:tcPr>
          <w:p>
            <w:pPr>
              <w:spacing w:after="0"/>
            </w:pPr>
            <w:r>
              <w:rPr>
                <w:rFonts w:ascii="Calibri" w:hAnsi="Calibri"/>
                <w:sz w:val="18"/>
              </w:rPr>
              <w:t>Não atende ao requisito técnico de Internet centralizada em pontos redundantes e protegidos por Anti-DDoS.</w:t>
            </w:r>
          </w:p>
        </w:tc>
      </w:tr>
      <w:tr>
        <w:tc>
          <w:tcPr>
            <w:tcW w:type="dxa" w:w="3120"/>
            <w:vAlign w:val="center"/>
            <w:tcMar>
              <w:top w:w="80" w:type="dxa"/>
              <w:start w:w="120" w:type="dxa"/>
              <w:bottom w:w="80" w:type="dxa"/>
              <w:end w:w="120" w:type="dxa"/>
            </w:tcMar>
          </w:tcPr>
          <w:p>
            <w:pPr>
              <w:spacing w:after="0"/>
            </w:pPr>
            <w:r>
              <w:rPr>
                <w:rFonts w:ascii="Calibri" w:hAnsi="Calibri"/>
                <w:sz w:val="18"/>
              </w:rPr>
              <w:t>Solução 4 - Links satelitais como meio principal</w:t>
            </w:r>
          </w:p>
        </w:tc>
        <w:tc>
          <w:tcPr>
            <w:tcW w:type="dxa" w:w="3120"/>
            <w:vAlign w:val="center"/>
            <w:tcMar>
              <w:top w:w="80" w:type="dxa"/>
              <w:start w:w="120" w:type="dxa"/>
              <w:bottom w:w="80" w:type="dxa"/>
              <w:end w:w="120" w:type="dxa"/>
            </w:tcMar>
          </w:tcPr>
          <w:p>
            <w:pPr>
              <w:spacing w:after="0"/>
            </w:pPr>
            <w:r>
              <w:rPr>
                <w:rFonts w:ascii="Calibri" w:hAnsi="Calibri"/>
                <w:sz w:val="18"/>
              </w:rPr>
              <w:t>Substituir a malha terrestre por enlaces satelitais.</w:t>
            </w:r>
          </w:p>
        </w:tc>
        <w:tc>
          <w:tcPr>
            <w:tcW w:type="dxa" w:w="3120"/>
            <w:vAlign w:val="center"/>
            <w:tcMar>
              <w:top w:w="80" w:type="dxa"/>
              <w:start w:w="120" w:type="dxa"/>
              <w:bottom w:w="80" w:type="dxa"/>
              <w:end w:w="120" w:type="dxa"/>
            </w:tcMar>
          </w:tcPr>
          <w:p>
            <w:pPr>
              <w:spacing w:after="0"/>
            </w:pPr>
            <w:r>
              <w:rPr>
                <w:rFonts w:ascii="Calibri" w:hAnsi="Calibri"/>
                <w:sz w:val="18"/>
              </w:rPr>
              <w:t>Pode apoiar contingência extrema, mas não é solução principal adequada por latência, variabilidade e custo por Mbps para tráfego crítico.</w:t>
            </w:r>
          </w:p>
        </w:tc>
      </w:tr>
    </w:tbl>
    <w:p/>
    <w:p>
      <w:r>
        <w:t>A Solução 1 é a recomendada, pois atende ao mesmo tempo à interconexão privada das unidades, à redundância entre camadas, à replicação Sede-Foro e à centralização segura do acesso à Internet.</w:t>
      </w:r>
    </w:p>
    <w:p>
      <w:pPr>
        <w:pStyle w:val="Heading2"/>
      </w:pPr>
      <w:r>
        <w:t>2.2 A necessidade de contratação decorre de exigência legal?</w:t>
      </w:r>
    </w:p>
    <w:p>
      <w:r>
        <w:t>Não há exigência legal específica para contratar MPLS, link dedicado de 25 Gbps ou Internet dedicada como tecnologias determinadas. A necessidade decorre da obrigação administrativa de assegurar continuidade, disponibilidade, segurança e desempenho dos serviços de TIC que suportam a atividade jurisdicional e administrativa.</w:t>
      </w:r>
    </w:p>
    <w:p>
      <w:r>
        <w:t>A demanda se relaciona com a Lei nº 14.133/2021, especialmente nos pontos ligados ao planejamento da contratação, ETP e Termo de Referência, e com a ENTIC-JUD 2021-2026, instituída pela Resolução CNJ nº 370/2021, que orienta a governança de TIC do Poder Judiciário e a disponibilidade dos serviços digitais.</w:t>
      </w:r>
    </w:p>
    <w:p>
      <w:pPr>
        <w:pStyle w:val="Heading2"/>
      </w:pPr>
      <w:r>
        <w:t>2.3 Quais unidades serão beneficiadas?</w:t>
      </w:r>
    </w:p>
    <w:p>
      <w:r>
        <w:t>A contratação atende todas as unidades do TRT10 conectadas à rede institucional:</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 / 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Endereço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Município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UF</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CEP</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SAS Quadra 1, Bloco D, Praça dos Tribunais Superiores</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70.097-900</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SEPN 513, Bloco B, Lotes 2/3</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70.760-522</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Quadra C12, Bloco O, Lotes 1 a 5 e 8 a 12</w:t>
            </w:r>
          </w:p>
        </w:tc>
        <w:tc>
          <w:tcPr>
            <w:tcW w:type="dxa" w:w="1560"/>
            <w:vAlign w:val="center"/>
            <w:tcMar>
              <w:top w:w="80" w:type="dxa"/>
              <w:start w:w="120" w:type="dxa"/>
              <w:bottom w:w="80" w:type="dxa"/>
              <w:end w:w="120" w:type="dxa"/>
            </w:tcMar>
          </w:tcPr>
          <w:p>
            <w:pPr>
              <w:spacing w:after="0"/>
            </w:pPr>
            <w:r>
              <w:rPr>
                <w:rFonts w:ascii="Calibri" w:hAnsi="Calibri"/>
                <w:sz w:val="18"/>
              </w:rPr>
              <w:t>Taguatinga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72.010-120</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Área Especial 01, Praça 02, Lote 06</w:t>
            </w:r>
          </w:p>
        </w:tc>
        <w:tc>
          <w:tcPr>
            <w:tcW w:type="dxa" w:w="1560"/>
            <w:vAlign w:val="center"/>
            <w:tcMar>
              <w:top w:w="80" w:type="dxa"/>
              <w:start w:w="120" w:type="dxa"/>
              <w:bottom w:w="80" w:type="dxa"/>
              <w:end w:w="120" w:type="dxa"/>
            </w:tcMar>
          </w:tcPr>
          <w:p>
            <w:pPr>
              <w:spacing w:after="0"/>
            </w:pPr>
            <w:r>
              <w:rPr>
                <w:rFonts w:ascii="Calibri" w:hAnsi="Calibri"/>
                <w:sz w:val="18"/>
              </w:rPr>
              <w:t>Gama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72.405-610</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Av. Neief Murad, 1131, Jardim Goiás</w:t>
            </w:r>
          </w:p>
        </w:tc>
        <w:tc>
          <w:tcPr>
            <w:tcW w:type="dxa" w:w="1560"/>
            <w:vAlign w:val="center"/>
            <w:tcMar>
              <w:top w:w="80" w:type="dxa"/>
              <w:start w:w="120" w:type="dxa"/>
              <w:bottom w:w="80" w:type="dxa"/>
              <w:end w:w="120" w:type="dxa"/>
            </w:tcMar>
          </w:tcPr>
          <w:p>
            <w:pPr>
              <w:spacing w:after="0"/>
            </w:pPr>
            <w:r>
              <w:rPr>
                <w:rFonts w:ascii="Calibri" w:hAnsi="Calibri"/>
                <w:sz w:val="18"/>
              </w:rPr>
              <w:t>Araguaína</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77.824-022</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Quadra 302 Norte, Conjunto QI 12, Alameda 2, Lote IA</w:t>
            </w:r>
          </w:p>
        </w:tc>
        <w:tc>
          <w:tcPr>
            <w:tcW w:type="dxa" w:w="1560"/>
            <w:vAlign w:val="center"/>
            <w:tcMar>
              <w:top w:w="80" w:type="dxa"/>
              <w:start w:w="120" w:type="dxa"/>
              <w:bottom w:w="80" w:type="dxa"/>
              <w:end w:w="120" w:type="dxa"/>
            </w:tcMar>
          </w:tcPr>
          <w:p>
            <w:pPr>
              <w:spacing w:after="0"/>
            </w:pPr>
            <w:r>
              <w:rPr>
                <w:rFonts w:ascii="Calibri" w:hAnsi="Calibri"/>
                <w:sz w:val="18"/>
              </w:rPr>
              <w:t>Palmas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77.066-338</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Rua Antônio Lisboa da Cruz, 2031, Centro, Setor Central</w:t>
            </w:r>
          </w:p>
        </w:tc>
        <w:tc>
          <w:tcPr>
            <w:tcW w:type="dxa" w:w="1560"/>
            <w:vAlign w:val="center"/>
            <w:tcMar>
              <w:top w:w="80" w:type="dxa"/>
              <w:start w:w="120" w:type="dxa"/>
              <w:bottom w:w="80" w:type="dxa"/>
              <w:end w:w="120" w:type="dxa"/>
            </w:tcMar>
          </w:tcPr>
          <w:p>
            <w:pPr>
              <w:spacing w:after="0"/>
            </w:pPr>
            <w:r>
              <w:rPr>
                <w:rFonts w:ascii="Calibri" w:hAnsi="Calibri"/>
                <w:sz w:val="18"/>
              </w:rPr>
              <w:t>Gurupi</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77.405-100</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Avenida Wolney Filho, Qd. 69 A, Setor Novo Horizonte</w:t>
            </w:r>
          </w:p>
        </w:tc>
        <w:tc>
          <w:tcPr>
            <w:tcW w:type="dxa" w:w="1560"/>
            <w:vAlign w:val="center"/>
            <w:tcMar>
              <w:top w:w="80" w:type="dxa"/>
              <w:start w:w="120" w:type="dxa"/>
              <w:bottom w:w="80" w:type="dxa"/>
              <w:end w:w="120" w:type="dxa"/>
            </w:tcMar>
          </w:tcPr>
          <w:p>
            <w:pPr>
              <w:spacing w:after="0"/>
            </w:pPr>
            <w:r>
              <w:rPr>
                <w:rFonts w:ascii="Calibri" w:hAnsi="Calibri"/>
                <w:sz w:val="18"/>
              </w:rPr>
              <w:t>Dianópolis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77.300-000</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Avenida Araguaia, esquina com Av. Bernardo Sayão, 1360</w:t>
            </w:r>
          </w:p>
        </w:tc>
        <w:tc>
          <w:tcPr>
            <w:tcW w:type="dxa" w:w="1560"/>
            <w:vAlign w:val="center"/>
            <w:tcMar>
              <w:top w:w="80" w:type="dxa"/>
              <w:start w:w="120" w:type="dxa"/>
              <w:bottom w:w="80" w:type="dxa"/>
              <w:end w:w="120" w:type="dxa"/>
            </w:tcMar>
          </w:tcPr>
          <w:p>
            <w:pPr>
              <w:spacing w:after="0"/>
            </w:pPr>
            <w:r>
              <w:rPr>
                <w:rFonts w:ascii="Calibri" w:hAnsi="Calibri"/>
                <w:sz w:val="18"/>
              </w:rPr>
              <w:t>Guaraí</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77.700-000</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SGAN 916 Norte, Lote AI, Asa Norte</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70.790-160</w:t>
            </w:r>
          </w:p>
        </w:tc>
      </w:tr>
    </w:tbl>
    <w:p/>
    <w:p>
      <w:r>
        <w:t>A Sede funcionará como concentrador principal de rede, segurança, egressão à Internet e integração institucional. O Foro de Brasília funcionará como unidade de atendimento, ponto de Internet redundante, ambiente de replicação e concentrador contingencial para acesso das unidades.</w:t>
      </w:r>
    </w:p>
    <w:p>
      <w:pPr>
        <w:pStyle w:val="Heading2"/>
      </w:pPr>
      <w:r>
        <w:t>2.4 Consequências do não atendimento da demanda</w:t>
      </w:r>
    </w:p>
    <w:p>
      <w:pPr>
        <w:pStyle w:val="ListBullet"/>
      </w:pPr>
      <w:r>
        <w:t>Maior dependência de uma única camada de conectividade para tráfego crítico.</w:t>
      </w:r>
    </w:p>
    <w:p>
      <w:pPr>
        <w:pStyle w:val="ListBullet"/>
      </w:pPr>
      <w:r>
        <w:t>Saídas de Internet dispersas ou insuficientemente padronizadas, com maior superfície de ataque e menor uniformidade de segurança.</w:t>
      </w:r>
    </w:p>
    <w:p>
      <w:pPr>
        <w:pStyle w:val="ListBullet"/>
      </w:pPr>
      <w:r>
        <w:t>Risco de indisponibilidade relevante da Internet institucional caso a Sede sofra falha sem ponto redundante no Foro.</w:t>
      </w:r>
    </w:p>
    <w:p>
      <w:pPr>
        <w:pStyle w:val="ListBullet"/>
      </w:pPr>
      <w:r>
        <w:t>Dificuldade de garantir provedores distintos, Anti-DDoS e endereçamento fixo suficiente nos pontos centrais.</w:t>
      </w:r>
    </w:p>
    <w:p>
      <w:pPr>
        <w:pStyle w:val="ListBullet"/>
      </w:pPr>
      <w:r>
        <w:t>Menor previsibilidade para tráfego crítico, replicação, backup, autenticação, monitoramento e suporte remoto.</w:t>
      </w:r>
    </w:p>
    <w:p>
      <w:pPr>
        <w:pStyle w:val="ListBullet"/>
      </w:pPr>
      <w:r>
        <w:t>Dificuldade de cumprir diretrizes de continuidade, disponibilidade, segurança e governança de TIC.</w:t>
      </w:r>
    </w:p>
    <w:p>
      <w:pPr>
        <w:pStyle w:val="Heading1"/>
      </w:pPr>
      <w:r>
        <w:t>3. Descrição Sucinta do Objeto</w:t>
      </w:r>
    </w:p>
    <w:p>
      <w:pPr>
        <w:pStyle w:val="Heading2"/>
      </w:pPr>
      <w:r>
        <w:t>3.1 Objeto da contratação</w:t>
      </w:r>
    </w:p>
    <w:p>
      <w:r>
        <w:t>Contratação de serviços continuados de telecomunicações e comunicação de dados, com fornecimento, instalação, configuração, equipamentos necessários, monitoramento, suporte técnico, manutenção e garantia de níveis de serviço. O objeto é composto pelos seguintes blocos:</w:t>
      </w:r>
    </w:p>
    <w:p>
      <w:pPr>
        <w:pStyle w:val="ListBullet"/>
      </w:pPr>
      <w:r>
        <w:t>circuitos MPLS para as 10 localidades do TRT10, com capacidades equivalentes às capacidades SD-WAN vigentes por localidade;</w:t>
      </w:r>
    </w:p>
    <w:p>
      <w:pPr>
        <w:pStyle w:val="ListBullet"/>
      </w:pPr>
      <w:r>
        <w:t>link dedicado ponto-a-ponto de 25 Gbps entre o Edifício Sede e o Foro de Brasília, por fibra óptica, LAN-to-LAN, Metro Ethernet, clear channel, E-Line, E-LAN ou tecnologia equivalente, separado da rede MPLS;</w:t>
      </w:r>
    </w:p>
    <w:p>
      <w:pPr>
        <w:pStyle w:val="ListBullet"/>
      </w:pPr>
      <w:r>
        <w:t>3 links dedicados de Internet de 4 Gbps na Sede, cada um com provedor distinto, Anti-DDoS e 32 IPs fixos;</w:t>
      </w:r>
    </w:p>
    <w:p>
      <w:pPr>
        <w:pStyle w:val="ListBullet"/>
      </w:pPr>
      <w:r>
        <w:t>2 links dedicados de Internet de 2 Gbps no Foro de Brasília, cada um com provedor distinto, Anti-DDoS e 32 IPs fixos.</w:t>
      </w:r>
    </w:p>
    <w:p>
      <w:r>
        <w:t>A solução deve permitir centralização do acesso à Internet do TRT10, redundância entre Sede e Foro, contingência cruzada entre MPLS e SD-WAN, QoS, segregação lógica, roteamento controlado, monitoramento 24x7, relatórios mensais e aplicação de glosas por descumprimento de SLA.</w:t>
      </w:r>
    </w:p>
    <w:p>
      <w:pPr>
        <w:pStyle w:val="Heading1"/>
      </w:pPr>
      <w:r>
        <w:t>4. Quantidade a Ser Contratada</w:t>
      </w:r>
    </w:p>
    <w:p>
      <w:pPr>
        <w:pStyle w:val="Heading2"/>
      </w:pPr>
      <w:r>
        <w:t>4.1 Quantidade estimada por ano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Enlace dedicado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 função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11</w:t>
            </w:r>
          </w:p>
        </w:tc>
        <w:tc>
          <w:tcPr>
            <w:tcW w:type="dxa" w:w="1560"/>
            <w:vAlign w:val="center"/>
            <w:tcMar>
              <w:top w:w="80" w:type="dxa"/>
              <w:start w:w="120" w:type="dxa"/>
              <w:bottom w:w="80" w:type="dxa"/>
              <w:end w:w="120" w:type="dxa"/>
            </w:tcMar>
          </w:tcPr>
          <w:p>
            <w:pPr>
              <w:spacing w:after="0"/>
            </w:pPr>
            <w:r>
              <w:rPr>
                <w:rFonts w:ascii="Calibri" w:hAnsi="Calibri"/>
                <w:sz w:val="18"/>
              </w:rPr>
              <w:t>Sede ↔ Foro de Brasília</w:t>
            </w:r>
          </w:p>
        </w:tc>
        <w:tc>
          <w:tcPr>
            <w:tcW w:type="dxa" w:w="1560"/>
            <w:vAlign w:val="center"/>
            <w:tcMar>
              <w:top w:w="80" w:type="dxa"/>
              <w:start w:w="120" w:type="dxa"/>
              <w:bottom w:w="80" w:type="dxa"/>
              <w:end w:w="120" w:type="dxa"/>
            </w:tcMar>
          </w:tcPr>
          <w:p>
            <w:pPr>
              <w:spacing w:after="0"/>
            </w:pPr>
            <w:r>
              <w:rPr>
                <w:rFonts w:ascii="Calibri" w:hAnsi="Calibri"/>
                <w:sz w:val="18"/>
              </w:rPr>
              <w:t>Link dedicado ponto-a-ponto; replicação, backup e redundância</w:t>
            </w:r>
          </w:p>
        </w:tc>
        <w:tc>
          <w:tcPr>
            <w:tcW w:type="dxa" w:w="1560"/>
            <w:vAlign w:val="center"/>
            <w:tcMar>
              <w:top w:w="80" w:type="dxa"/>
              <w:start w:w="120" w:type="dxa"/>
              <w:bottom w:w="80" w:type="dxa"/>
              <w:end w:w="120" w:type="dxa"/>
            </w:tcMar>
          </w:tcPr>
          <w:p>
            <w:pPr>
              <w:spacing w:after="0"/>
            </w:pPr>
            <w:r>
              <w:rPr>
                <w:rFonts w:ascii="Calibri" w:hAnsi="Calibri"/>
                <w:sz w:val="18"/>
              </w:rPr>
              <w:t>25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Serviço</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Requisitos mínimos</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337"/>
            <w:vAlign w:val="center"/>
            <w:tcMar>
              <w:top w:w="80" w:type="dxa"/>
              <w:start w:w="120" w:type="dxa"/>
              <w:bottom w:w="80" w:type="dxa"/>
              <w:end w:w="120" w:type="dxa"/>
            </w:tcMar>
          </w:tcPr>
          <w:p>
            <w:pPr>
              <w:spacing w:after="0"/>
            </w:pPr>
            <w:r>
              <w:rPr>
                <w:rFonts w:ascii="Calibri" w:hAnsi="Calibri"/>
                <w:sz w:val="18"/>
              </w:rPr>
              <w:t>12</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13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13</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14</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3</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13;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15</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16;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16</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15;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bl>
    <w:p/>
    <w:p>
      <w:r>
        <w:t>Para os itens de Internet, a adjudicação deve impedir que uma mesma empresa, CNPJ, grupo econômico ou provedor operacionalmente dependente seja contratado para mais de um link na mesma localidade. A mesma empresa poderá vencer um item da Sede e um item do Foro, desde que cumpra os requisitos de capacidade, Anti-DDoS, 32 IPs fixos e independência física/lógica exigidos para cada item.</w:t>
      </w:r>
    </w:p>
    <w:p>
      <w:pPr>
        <w:pStyle w:val="Heading2"/>
      </w:pPr>
      <w:r>
        <w:t>4.2 A estimativa é baseada no histórico demandado?</w:t>
      </w:r>
    </w:p>
    <w:p>
      <w:r>
        <w:t>Sim. A estimativa considera o histórico de contratações de comunicação de dados e Internet do TRT10, a topologia SD-WAN vigente, os registros de redundância e monitoramento e a centralização dos acessos de Internet do Tribunal na Sede e no Foro.</w:t>
      </w:r>
    </w:p>
    <w:p>
      <w:pPr>
        <w:pStyle w:val="Heading1"/>
      </w:pPr>
      <w:r>
        <w:t>5. Estimativa Preliminar do Valor da Contratação</w:t>
      </w:r>
    </w:p>
    <w:p>
      <w:pPr>
        <w:pStyle w:val="Heading2"/>
      </w:pPr>
      <w:r>
        <w:t>5.1 Valor estimado da contratação</w:t>
      </w:r>
    </w:p>
    <w:p>
      <w:r>
        <w:t>A pesquisa priorizou referências públicas do PNCP e documentos anexos aos processos consultados. A estimativa de planejamento usa preços públicos diretos quando há aderência suficiente e metodologia paramétrica quando a pesquisa não localizou três itens idênticos em capacidade, localidade, Anti-DDoS e bloco de IPs.</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SENAR/MS, Brusque/SC, Chapecó/SC e ANCINE</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Chapecó/SC, ANCINE e Cascavel/PR</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CODEVASF, Cascavel/PR e Chapecó/SC</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Faixa paramétrica de alta capacidade: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 4 Gbps com Anti-DDoS R$ 15.687,33 + ajuste Chapecó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geral estimado</w:t>
            </w:r>
          </w:p>
        </w:tc>
        <w:tc>
          <w:tcPr>
            <w:tcW w:type="dxa" w:w="1560"/>
            <w:vAlign w:val="center"/>
            <w:tcMar>
              <w:top w:w="80" w:type="dxa"/>
              <w:start w:w="120" w:type="dxa"/>
              <w:bottom w:w="80" w:type="dxa"/>
              <w:end w:w="120" w:type="dxa"/>
            </w:tcMar>
          </w:tcPr>
          <w:p>
            <w:pPr>
              <w:spacing w:after="0"/>
            </w:pPr>
            <w:r>
              <w:rPr>
                <w:rFonts w:ascii="Calibri" w:hAnsi="Calibri"/>
                <w:sz w:val="18"/>
              </w:rPr>
              <w:t>MPLS + link dedicado 25 Gbps + Internet centralizada</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2"/>
      </w:pPr>
      <w:r>
        <w:t>5.2 Referências PNCP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 uso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SENAR/MS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link dedicado MPLS de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acesso privado por MPLS de ao menos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 e 500 Mbps</w:t>
            </w:r>
          </w:p>
        </w:tc>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R$ 11.480,00/mês para grupo de 20 pontos de 1 Gbps; R$ 84.050,00/mês para grupo de 205 pontos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de rede privada MPLS em escala, usada como apoio de mercado e validação de capacidade.</w:t>
            </w:r>
          </w:p>
        </w:tc>
      </w:tr>
      <w:tr>
        <w:tc>
          <w:tcPr>
            <w:tcW w:type="dxa" w:w="1872"/>
            <w:vAlign w:val="center"/>
            <w:tcMar>
              <w:top w:w="80" w:type="dxa"/>
              <w:start w:w="120" w:type="dxa"/>
              <w:bottom w:w="80" w:type="dxa"/>
              <w:end w:w="120" w:type="dxa"/>
            </w:tcMar>
          </w:tcPr>
          <w:p>
            <w:pPr>
              <w:spacing w:after="0"/>
            </w:pPr>
            <w:r>
              <w:rPr>
                <w:rFonts w:ascii="Calibri" w:hAnsi="Calibri"/>
                <w:sz w:val="18"/>
              </w:rPr>
              <w:t>MPLS/SD-WAN</w:t>
            </w:r>
          </w:p>
        </w:tc>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R$ 87.562,44, R$ 98.541,28 e R$ 70.505,04, com quantidades distintas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solução híbrida Internet/MPLS/SD-WAN, normalizada no ETP conforme capacidade e escopo.</w:t>
            </w:r>
          </w:p>
        </w:tc>
      </w:tr>
      <w:tr>
        <w:tc>
          <w:tcPr>
            <w:tcW w:type="dxa" w:w="1872"/>
            <w:vAlign w:val="center"/>
            <w:tcMar>
              <w:top w:w="80" w:type="dxa"/>
              <w:start w:w="120" w:type="dxa"/>
              <w:bottom w:w="80" w:type="dxa"/>
              <w:end w:w="120" w:type="dxa"/>
            </w:tcMar>
          </w:tcPr>
          <w:p>
            <w:pPr>
              <w:spacing w:after="0"/>
            </w:pPr>
            <w:r>
              <w:rPr>
                <w:rFonts w:ascii="Calibri" w:hAnsi="Calibri"/>
                <w:sz w:val="18"/>
              </w:rPr>
              <w:t>MPLS 100 Mbps e faixas inferiores</w:t>
            </w:r>
          </w:p>
        </w:tc>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R$ 22.800,00; R$ 8.040,00; R$ 6.200,04; R$ 4.407,96; R$ 1.940,04</w:t>
            </w:r>
          </w:p>
        </w:tc>
        <w:tc>
          <w:tcPr>
            <w:tcW w:type="dxa" w:w="1872"/>
            <w:vAlign w:val="center"/>
            <w:tcMar>
              <w:top w:w="80" w:type="dxa"/>
              <w:start w:w="120" w:type="dxa"/>
              <w:bottom w:w="80" w:type="dxa"/>
              <w:end w:w="120" w:type="dxa"/>
            </w:tcMar>
          </w:tcPr>
          <w:p>
            <w:pPr>
              <w:spacing w:after="0"/>
            </w:pPr>
            <w:r>
              <w:rPr>
                <w:rFonts w:ascii="Calibri" w:hAnsi="Calibri"/>
                <w:sz w:val="18"/>
              </w:rPr>
              <w:t>Referência por faixas de capacidade para estimativa dos enlaces de 100 Mbps e apoio aos enlaces de 500 Mbps.</w:t>
            </w:r>
          </w:p>
        </w:tc>
      </w:tr>
      <w:tr>
        <w:tc>
          <w:tcPr>
            <w:tcW w:type="dxa" w:w="1872"/>
            <w:vAlign w:val="center"/>
            <w:tcMar>
              <w:top w:w="80" w:type="dxa"/>
              <w:start w:w="120" w:type="dxa"/>
              <w:bottom w:w="80" w:type="dxa"/>
              <w:end w:w="120" w:type="dxa"/>
            </w:tcMar>
          </w:tcPr>
          <w:p>
            <w:pPr>
              <w:spacing w:after="0"/>
            </w:pPr>
            <w:r>
              <w:rPr>
                <w:rFonts w:ascii="Calibri" w:hAnsi="Calibri"/>
                <w:sz w:val="18"/>
              </w:rPr>
              <w:t>WAN MPLS nacional</w:t>
            </w:r>
          </w:p>
        </w:tc>
        <w:tc>
          <w:tcPr>
            <w:tcW w:type="dxa" w:w="1872"/>
            <w:vAlign w:val="center"/>
            <w:tcMar>
              <w:top w:w="80" w:type="dxa"/>
              <w:start w:w="120" w:type="dxa"/>
              <w:bottom w:w="80" w:type="dxa"/>
              <w:end w:w="120" w:type="dxa"/>
            </w:tcMar>
          </w:tcPr>
          <w:p>
            <w:pPr>
              <w:spacing w:after="0"/>
            </w:pPr>
            <w:r>
              <w:rPr>
                <w:rFonts w:ascii="Calibri" w:hAnsi="Calibri"/>
                <w:sz w:val="18"/>
              </w:rPr>
              <w:t>CODEVASF</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Valor estimado R$ 1.433.232,00; homologado R$ 670.023,00</w:t>
            </w:r>
          </w:p>
        </w:tc>
        <w:tc>
          <w:tcPr>
            <w:tcW w:type="dxa" w:w="1872"/>
            <w:vAlign w:val="center"/>
            <w:tcMar>
              <w:top w:w="80" w:type="dxa"/>
              <w:start w:w="120" w:type="dxa"/>
              <w:bottom w:w="80" w:type="dxa"/>
              <w:end w:w="120" w:type="dxa"/>
            </w:tcMar>
          </w:tcPr>
          <w:p>
            <w:pPr>
              <w:spacing w:after="0"/>
            </w:pPr>
            <w:r>
              <w:rPr>
                <w:rFonts w:ascii="Calibri" w:hAnsi="Calibri"/>
                <w:sz w:val="18"/>
              </w:rPr>
              <w:t>Referência de rede corporativa WAN MPLS nacional, usada como validação técnica e referência auxiliar para 100 Mbps.</w:t>
            </w:r>
          </w:p>
        </w:tc>
      </w:tr>
    </w:tbl>
    <w:p/>
    <w:p>
      <w:pPr>
        <w:pStyle w:val="Heading2"/>
      </w:pPr>
      <w:r>
        <w:t>5.3 Referências PNCP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preço unitário isolado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interligação privativa de alta capacidade por fibra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Serviço continuado de interligação de dados entre setores da Administração Pública;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R$ 138.000,00 homologado para item de interligação de dados; valor total registrado R$ 184.399,92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de contratação de conectividade privada entre pontos administrativos,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Itens homologados em torno de R$ 765,43/mês por ponto de 1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pontos LAN-to-LAN,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do enlace de 25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enlace dedicado de alta capacidade, simétrico e com requisitos de desempenho.</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para modelagem do enlace Sede-Foro como link dedicado ponto-a-ponto, e não como MPLS.</w:t>
            </w:r>
          </w:p>
        </w:tc>
      </w:tr>
    </w:tbl>
    <w:p/>
    <w:p>
      <w:r>
        <w:t xml:space="preserve">A pesquisa não localizou referência pública plenamente equivalente a enlace dedicado ponto-a-ponto de 25 Gbps entre dois prédios com a mesma finalidade de replicação e contingência. Por isso, a estimativa do item 11 usa faixa paramétrica de alta capacidade, com ponto médio de R$ 45.000,00/mês, calculado por </w:t>
      </w:r>
      <w:r>
        <w:rPr>
          <w:rFonts w:ascii="Consolas" w:hAnsi="Consolas"/>
          <w:sz w:val="20"/>
        </w:rPr>
        <w:t>(R$ 30.000,00 + R$ 60.000,00) / 2</w:t>
      </w:r>
      <w:r>
        <w:t>. As referências acima mostram aderência técnica de mercado para LAN-to-LAN, Metro Ethernet, fibra dedicada e interligação privada de pontos centrais, mas não foram tratadas como equivalentes perfeitas de preço.</w:t>
      </w:r>
    </w:p>
    <w:p>
      <w:pPr>
        <w:pStyle w:val="Heading2"/>
      </w:pPr>
      <w:r>
        <w:t>5.4 Referências PNCP para links dedicados de Internet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Valor usado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Ipojuca/PE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2340"/>
            <w:vAlign w:val="center"/>
            <w:tcMar>
              <w:top w:w="80" w:type="dxa"/>
              <w:start w:w="120" w:type="dxa"/>
              <w:bottom w:w="80" w:type="dxa"/>
              <w:end w:w="120" w:type="dxa"/>
            </w:tcMar>
          </w:tcPr>
          <w:p>
            <w:pPr>
              <w:spacing w:after="0"/>
            </w:pPr>
            <w:r>
              <w:rPr>
                <w:rFonts w:ascii="Calibri" w:hAnsi="Calibri"/>
                <w:sz w:val="18"/>
              </w:rPr>
              <w:t>R$ 15.687,33/mês por link</w:t>
            </w:r>
          </w:p>
        </w:tc>
        <w:tc>
          <w:tcPr>
            <w:tcW w:type="dxa" w:w="2340"/>
            <w:vAlign w:val="center"/>
            <w:tcMar>
              <w:top w:w="80" w:type="dxa"/>
              <w:start w:w="120" w:type="dxa"/>
              <w:bottom w:w="80" w:type="dxa"/>
              <w:end w:w="120" w:type="dxa"/>
            </w:tcMar>
          </w:tcPr>
          <w:p>
            <w:pPr>
              <w:spacing w:after="0"/>
            </w:pPr>
            <w:r>
              <w:rPr>
                <w:rFonts w:ascii="Calibri" w:hAnsi="Calibri"/>
                <w:sz w:val="18"/>
              </w:rPr>
              <w:t>Base direta para Internet dedicada 4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2340"/>
            <w:vAlign w:val="center"/>
            <w:tcMar>
              <w:top w:w="80" w:type="dxa"/>
              <w:start w:w="120" w:type="dxa"/>
              <w:bottom w:w="80" w:type="dxa"/>
              <w:end w:w="120" w:type="dxa"/>
            </w:tcMar>
          </w:tcPr>
          <w:p>
            <w:pPr>
              <w:spacing w:after="0"/>
            </w:pPr>
            <w:r>
              <w:rPr>
                <w:rFonts w:ascii="Calibri" w:hAnsi="Calibri"/>
                <w:sz w:val="18"/>
              </w:rPr>
              <w:t>R$ 1.920,00/mês para IP /27; R$ 8.500,00 e R$ 7.500,00/mês para links de 5 Gbps</w:t>
            </w:r>
          </w:p>
        </w:tc>
        <w:tc>
          <w:tcPr>
            <w:tcW w:type="dxa" w:w="2340"/>
            <w:vAlign w:val="center"/>
            <w:tcMar>
              <w:top w:w="80" w:type="dxa"/>
              <w:start w:w="120" w:type="dxa"/>
              <w:bottom w:w="80" w:type="dxa"/>
              <w:end w:w="120" w:type="dxa"/>
            </w:tcMar>
          </w:tcPr>
          <w:p>
            <w:pPr>
              <w:spacing w:after="0"/>
            </w:pPr>
            <w:r>
              <w:rPr>
                <w:rFonts w:ascii="Calibri" w:hAnsi="Calibri"/>
                <w:sz w:val="18"/>
              </w:rPr>
              <w:t>Ajuste para bloco de 32 IPs e referência de alta capacidade.</w:t>
            </w:r>
          </w:p>
        </w:tc>
      </w:tr>
      <w:tr>
        <w:tc>
          <w:tcPr>
            <w:tcW w:type="dxa" w:w="2340"/>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2340"/>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2340"/>
            <w:vAlign w:val="center"/>
            <w:tcMar>
              <w:top w:w="80" w:type="dxa"/>
              <w:start w:w="120" w:type="dxa"/>
              <w:bottom w:w="80" w:type="dxa"/>
              <w:end w:w="120" w:type="dxa"/>
            </w:tcMar>
          </w:tcPr>
          <w:p>
            <w:pPr>
              <w:spacing w:after="0"/>
            </w:pPr>
            <w:r>
              <w:rPr>
                <w:rFonts w:ascii="Calibri" w:hAnsi="Calibri"/>
                <w:sz w:val="18"/>
              </w:rPr>
              <w:t>R$ 21.600,00 homologado para link de dados de 2 Gbps com Anti-DDoS; R$ 23.520,00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2340"/>
            <w:vAlign w:val="center"/>
            <w:tcMar>
              <w:top w:w="80" w:type="dxa"/>
              <w:start w:w="120" w:type="dxa"/>
              <w:bottom w:w="80" w:type="dxa"/>
              <w:end w:w="120" w:type="dxa"/>
            </w:tcMar>
          </w:tcPr>
          <w:p>
            <w:pPr>
              <w:spacing w:after="0"/>
            </w:pPr>
            <w:r>
              <w:rPr>
                <w:rFonts w:ascii="Calibri" w:hAnsi="Calibri"/>
                <w:sz w:val="18"/>
              </w:rPr>
              <w:t>R$ 3.600,00/mês estimado por link de 2 Gbps com Anti-DDoS; R$ 5.520,00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Ministério da Defesa</w:t>
            </w:r>
          </w:p>
        </w:tc>
        <w:tc>
          <w:tcPr>
            <w:tcW w:type="dxa" w:w="2340"/>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2340"/>
            <w:vAlign w:val="center"/>
            <w:tcMar>
              <w:top w:w="80" w:type="dxa"/>
              <w:start w:w="120" w:type="dxa"/>
              <w:bottom w:w="80" w:type="dxa"/>
              <w:end w:w="120" w:type="dxa"/>
            </w:tcMar>
          </w:tcPr>
          <w:p>
            <w:pPr>
              <w:spacing w:after="0"/>
            </w:pPr>
            <w:r>
              <w:rPr>
                <w:rFonts w:ascii="Calibri" w:hAnsi="Calibri"/>
                <w:sz w:val="18"/>
              </w:rPr>
              <w:t>R$ 5.161,89/mês para link 1 Gbps; R$ 1.450,00/mês para Anti-DDoS</w:t>
            </w:r>
          </w:p>
        </w:tc>
        <w:tc>
          <w:tcPr>
            <w:tcW w:type="dxa" w:w="2340"/>
            <w:vAlign w:val="center"/>
            <w:tcMar>
              <w:top w:w="80" w:type="dxa"/>
              <w:start w:w="120" w:type="dxa"/>
              <w:bottom w:w="80" w:type="dxa"/>
              <w:end w:w="120" w:type="dxa"/>
            </w:tcMar>
          </w:tcPr>
          <w:p>
            <w:pPr>
              <w:spacing w:after="0"/>
            </w:pPr>
            <w:r>
              <w:rPr>
                <w:rFonts w:ascii="Calibri" w:hAnsi="Calibri"/>
                <w:sz w:val="18"/>
              </w:rPr>
              <w:t>Composição paramétrica dos links de 2 Gbps do Foro.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2340"/>
            <w:vAlign w:val="center"/>
            <w:tcMar>
              <w:top w:w="80" w:type="dxa"/>
              <w:start w:w="120" w:type="dxa"/>
              <w:bottom w:w="80" w:type="dxa"/>
              <w:end w:w="120" w:type="dxa"/>
            </w:tcMar>
          </w:tcPr>
          <w:p>
            <w:pPr>
              <w:spacing w:after="0"/>
            </w:pPr>
            <w:r>
              <w:rPr>
                <w:rFonts w:ascii="Calibri" w:hAnsi="Calibri"/>
                <w:sz w:val="18"/>
              </w:rPr>
              <w:t>Valor global estimado R$ 450.000,00</w:t>
            </w:r>
          </w:p>
        </w:tc>
        <w:tc>
          <w:tcPr>
            <w:tcW w:type="dxa" w:w="2340"/>
            <w:vAlign w:val="center"/>
            <w:tcMar>
              <w:top w:w="80" w:type="dxa"/>
              <w:start w:w="120" w:type="dxa"/>
              <w:bottom w:w="80" w:type="dxa"/>
              <w:end w:w="120" w:type="dxa"/>
            </w:tcMar>
          </w:tcPr>
          <w:p>
            <w:pPr>
              <w:spacing w:after="0"/>
            </w:pPr>
            <w:r>
              <w:rPr>
                <w:rFonts w:ascii="Calibri" w:hAnsi="Calibri"/>
                <w:sz w:val="18"/>
              </w:rPr>
              <w:t>Referência técnica para links dedicados simétricos de 2 Gbps.</w:t>
            </w:r>
          </w:p>
        </w:tc>
      </w:tr>
      <w:tr>
        <w:tc>
          <w:tcPr>
            <w:tcW w:type="dxa" w:w="2340"/>
            <w:vAlign w:val="center"/>
            <w:tcMar>
              <w:top w:w="80" w:type="dxa"/>
              <w:start w:w="120" w:type="dxa"/>
              <w:bottom w:w="80" w:type="dxa"/>
              <w:end w:w="120" w:type="dxa"/>
            </w:tcMar>
          </w:tcPr>
          <w:p>
            <w:pPr>
              <w:spacing w:after="0"/>
            </w:pPr>
            <w:r>
              <w:rPr>
                <w:rFonts w:ascii="Calibri" w:hAnsi="Calibri"/>
                <w:sz w:val="18"/>
              </w:rPr>
              <w:t>CAU/BA</w:t>
            </w:r>
          </w:p>
        </w:tc>
        <w:tc>
          <w:tcPr>
            <w:tcW w:type="dxa" w:w="2340"/>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2340"/>
            <w:vAlign w:val="center"/>
            <w:tcMar>
              <w:top w:w="80" w:type="dxa"/>
              <w:start w:w="120" w:type="dxa"/>
              <w:bottom w:w="80" w:type="dxa"/>
              <w:end w:w="120" w:type="dxa"/>
            </w:tcMar>
          </w:tcPr>
          <w:p>
            <w:pPr>
              <w:spacing w:after="0"/>
            </w:pPr>
            <w:r>
              <w:rPr>
                <w:rFonts w:ascii="Calibri" w:hAnsi="Calibri"/>
                <w:sz w:val="18"/>
              </w:rPr>
              <w:t>Relatório de cotação com referência de 2 Gbps Anti-DDoS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sem uso direto na fórmula.</w:t>
            </w:r>
          </w:p>
        </w:tc>
      </w:tr>
      <w:tr>
        <w:tc>
          <w:tcPr>
            <w:tcW w:type="dxa" w:w="2340"/>
            <w:vAlign w:val="center"/>
            <w:tcMar>
              <w:top w:w="80" w:type="dxa"/>
              <w:start w:w="120" w:type="dxa"/>
              <w:bottom w:w="80" w:type="dxa"/>
              <w:end w:w="120" w:type="dxa"/>
            </w:tcMar>
          </w:tcPr>
          <w:p>
            <w:pPr>
              <w:spacing w:after="0"/>
            </w:pPr>
            <w:r>
              <w:rPr>
                <w:rFonts w:ascii="Calibri" w:hAnsi="Calibri"/>
                <w:sz w:val="18"/>
              </w:rPr>
              <w:t>ANCINE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2340"/>
            <w:vAlign w:val="center"/>
            <w:tcMar>
              <w:top w:w="80" w:type="dxa"/>
              <w:start w:w="120" w:type="dxa"/>
              <w:bottom w:w="80" w:type="dxa"/>
              <w:end w:w="120" w:type="dxa"/>
            </w:tcMar>
          </w:tcPr>
          <w:p>
            <w:pPr>
              <w:spacing w:after="0"/>
            </w:pPr>
            <w:r>
              <w:rPr>
                <w:rFonts w:ascii="Calibri" w:hAnsi="Calibri"/>
                <w:sz w:val="18"/>
              </w:rPr>
              <w:t>R$ 7.296,87/mês por link de Internet 1 Gbps com DDoS</w:t>
            </w:r>
          </w:p>
        </w:tc>
        <w:tc>
          <w:tcPr>
            <w:tcW w:type="dxa" w:w="2340"/>
            <w:vAlign w:val="center"/>
            <w:tcMar>
              <w:top w:w="80" w:type="dxa"/>
              <w:start w:w="120" w:type="dxa"/>
              <w:bottom w:w="80" w:type="dxa"/>
              <w:end w:w="120" w:type="dxa"/>
            </w:tcMar>
          </w:tcPr>
          <w:p>
            <w:pPr>
              <w:spacing w:after="0"/>
            </w:pPr>
            <w:r>
              <w:rPr>
                <w:rFonts w:ascii="Calibri" w:hAnsi="Calibri"/>
                <w:sz w:val="18"/>
              </w:rPr>
              <w:t>Validação de prática de Anti-DDoS e SLA.</w:t>
            </w:r>
          </w:p>
        </w:tc>
      </w:tr>
    </w:tbl>
    <w:p/>
    <w:p>
      <w:pPr>
        <w:pStyle w:val="Heading2"/>
      </w:pPr>
      <w:r>
        <w:t>5.5 Como se chegou ao valor preliminar?</w:t>
      </w:r>
    </w:p>
    <w:p>
      <w:r>
        <w:t xml:space="preserve">Para MPLS 1 Gbps, a estimativa adotou a mediana das referências PNCP normalizadas de SENAR/MS, Brusque/SC, Chapecó/SC e ANCINE, resultando em R$ 7.122,50 por circuito/mês. Como há 2 localidades com essa capacidade, o valor mensal do grupo é </w:t>
      </w:r>
      <w:r>
        <w:rPr>
          <w:rFonts w:ascii="Consolas" w:hAnsi="Consolas"/>
          <w:sz w:val="20"/>
        </w:rPr>
        <w:t>2 x R$ 7.122,50 = R$ 14.245,00</w:t>
      </w:r>
      <w:r>
        <w:t>.</w:t>
      </w:r>
    </w:p>
    <w:p>
      <w:r>
        <w:t xml:space="preserve">Para MPLS 500 Mbps, a estimativa adotou a mediana das referências PNCP de Chapecó/SC, ANCINE e Cascavel/PR, resultando em R$ 1.900,00 por circuito/mês. Como há 3 localidades com essa capacidade, o valor mensal do grupo é </w:t>
      </w:r>
      <w:r>
        <w:rPr>
          <w:rFonts w:ascii="Consolas" w:hAnsi="Consolas"/>
          <w:sz w:val="20"/>
        </w:rPr>
        <w:t>3 x R$ 1.900,00 = R$ 5.700,00</w:t>
      </w:r>
      <w:r>
        <w:t>.</w:t>
      </w:r>
    </w:p>
    <w:p>
      <w:r>
        <w:t xml:space="preserve">Para MPLS 100 Mbps, a estimativa adotou a mediana das referências PNCP de CODEVASF, Cascavel/PR e Chapecó/SC, resultando em R$ 1.900,00 por circuito/mês. Como há 5 localidades com essa capacidade, o valor mensal do grupo é </w:t>
      </w:r>
      <w:r>
        <w:rPr>
          <w:rFonts w:ascii="Consolas" w:hAnsi="Consolas"/>
          <w:sz w:val="20"/>
        </w:rPr>
        <w:t>5 x R$ 1.900,00 = R$ 9.500,00</w:t>
      </w:r>
      <w:r>
        <w:t>.</w:t>
      </w:r>
    </w:p>
    <w:p>
      <w:r>
        <w:t xml:space="preserve">Para o link dedicado Sede-Foro de 25 Gbps, a estimativa utiliza faixa paramétrica de alta capacidade, pois as referências PNCP localizadas confirmam a viabilidade técnica de LAN-to-LAN, Metro Ethernet e fibra dedicada, mas não apresentam três itens idênticos de 25 Gbps com a mesma finalidade. O valor unitário adotado é o ponto médio da faixa: </w:t>
      </w:r>
      <w:r>
        <w:rPr>
          <w:rFonts w:ascii="Consolas" w:hAnsi="Consolas"/>
          <w:sz w:val="20"/>
        </w:rPr>
        <w:t>(R$ 30.000,00 + R$ 60.000,00) / 2 = R$ 45.000,00 por mês</w:t>
      </w:r>
      <w:r>
        <w:t>.</w:t>
      </w:r>
    </w:p>
    <w:p>
      <w:r>
        <w:t xml:space="preserve">Para os links de Internet da Sede, a referência de Ipojuca/PE foi usada por ter aderência direta a Internet dedicada de 4 Gbps com Anti-DDoS e regra de links por empresas diferentes. Como o requisito do TRT10 exige 32 IPs fixos por link, foi acrescentado o valor de IP /27 identificado na memória de cálculo de Chapecó/SC: </w:t>
      </w:r>
      <w:r>
        <w:rPr>
          <w:rFonts w:ascii="Consolas" w:hAnsi="Consolas"/>
          <w:sz w:val="20"/>
        </w:rPr>
        <w:t>R$ 15.687,33 + R$ 1.920,00 = R$ 17.607,33 por link/mês</w:t>
      </w:r>
      <w:r>
        <w:t xml:space="preserve">. Como são 3 links, o valor mensal do grupo é </w:t>
      </w:r>
      <w:r>
        <w:rPr>
          <w:rFonts w:ascii="Consolas" w:hAnsi="Consolas"/>
          <w:sz w:val="20"/>
        </w:rPr>
        <w:t>3 x R$ 17.607,33 = R$ 52.821,99</w:t>
      </w:r>
      <w:r>
        <w:t>.</w:t>
      </w:r>
    </w:p>
    <w:p>
      <w:r>
        <w:t xml:space="preserve">Para os links de Internet do Foro, a estimativa adotou mediana conservadora entre referência direta estimada do IPEA, referência direta homologada da Câmara Legislativa do Distrito Federal e composição paramétrica do Ministério da Defesa, acrescidas ou comparadas ao ajuste /27 de Chapecó/SC quando o item de origem não trazia bloco de 32 IPs fixos. O valor unitário adotado é R$ 13.693,78 por link/mês. Como são 2 links, o valor mensal do grupo é </w:t>
      </w:r>
      <w:r>
        <w:rPr>
          <w:rFonts w:ascii="Consolas" w:hAnsi="Consolas"/>
          <w:sz w:val="20"/>
        </w:rPr>
        <w:t>2 x R$ 13.693,78 = R$ 27.387,56</w:t>
      </w:r>
      <w:r>
        <w:t>.</w:t>
      </w:r>
    </w:p>
    <w:p>
      <w:pPr>
        <w:pStyle w:val="Heading2"/>
      </w:pPr>
      <w:r>
        <w:t>5.6 Contratações similares a manter nos autos</w:t>
      </w:r>
    </w:p>
    <w:p>
      <w:r>
        <w:t xml:space="preserve">A instrução de preços deve reunir as referências MPLS, LAN-to-LAN/link dedicado e Internet descritas neste item, juntamente com os artefatos baixados em </w:t>
      </w:r>
      <w:r>
        <w:rPr>
          <w:rFonts w:ascii="Consolas" w:hAnsi="Consolas"/>
          <w:sz w:val="20"/>
        </w:rPr>
        <w:t>PNCP_REFERENCIAS_MPLS</w:t>
      </w:r>
      <w:r>
        <w:t xml:space="preserve">, </w:t>
      </w:r>
      <w:r>
        <w:rPr>
          <w:rFonts w:ascii="Consolas" w:hAnsi="Consolas"/>
          <w:sz w:val="20"/>
        </w:rPr>
        <w:t>PNCP_REFERENCIAS_INTERNET</w:t>
      </w:r>
      <w:r>
        <w:t xml:space="preserve">, </w:t>
      </w:r>
      <w:r>
        <w:rPr>
          <w:rFonts w:ascii="Consolas" w:hAnsi="Consolas"/>
          <w:sz w:val="20"/>
        </w:rPr>
        <w:t>PNCP_PESQUISA_AMPLA_REDE10</w:t>
      </w:r>
      <w:r>
        <w:t xml:space="preserve"> e </w:t>
      </w:r>
      <w:r>
        <w:rPr>
          <w:rFonts w:ascii="Consolas" w:hAnsi="Consolas"/>
          <w:sz w:val="20"/>
        </w:rPr>
        <w:t>PNCP_CACHE</w:t>
      </w:r>
      <w:r>
        <w:t>. Também devem ser preservados detalhes da contratação, itens, resultados, arquivos anexos, editais, termos de referência, propostas, relatórios de cotação e memórias de cálculo.</w:t>
      </w:r>
    </w:p>
    <w:p>
      <w:pPr>
        <w:pStyle w:val="Heading1"/>
      </w:pPr>
      <w:r>
        <w:t>6. Data Pretendida para Conclusão da Contratação</w:t>
      </w:r>
    </w:p>
    <w:p>
      <w:pPr>
        <w:pStyle w:val="Heading2"/>
      </w:pPr>
      <w:r>
        <w:t>6.1 Data de início de vigência</w:t>
      </w:r>
    </w:p>
    <w:p>
      <w:r>
        <w:t>A contratação precisa estar vigente em tempo hábil para implantação, testes, operação assistida e entrada em produção controlada, preservando a continuidade da conectividade das unidades e dos acessos de Internet.</w:t>
      </w:r>
    </w:p>
    <w:p>
      <w:pPr>
        <w:pStyle w:val="Heading2"/>
      </w:pPr>
      <w:r>
        <w:t>6.2 Trata-se de serviço continuado?</w:t>
      </w:r>
    </w:p>
    <w:p>
      <w:r>
        <w:t>Sim. É serviço continuado de telecomunicações e comunicação de dados, essencial para o funcionamento permanente das unidades do TRT10.</w:t>
      </w:r>
    </w:p>
    <w:p>
      <w:pPr>
        <w:pStyle w:val="Heading1"/>
      </w:pPr>
      <w:r>
        <w:t>7. Grau de Prioridade da Contratação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Critério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Marcação sugerida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Justificativa</w:t>
            </w:r>
          </w:p>
        </w:tc>
      </w:tr>
      <w:tr>
        <w:tc>
          <w:tcPr>
            <w:tcW w:type="dxa" w:w="3120"/>
            <w:vAlign w:val="center"/>
            <w:tcMar>
              <w:top w:w="80" w:type="dxa"/>
              <w:start w:w="120" w:type="dxa"/>
              <w:bottom w:w="80" w:type="dxa"/>
              <w:end w:w="120" w:type="dxa"/>
            </w:tcMar>
          </w:tcPr>
          <w:p>
            <w:pPr>
              <w:spacing w:after="0"/>
            </w:pPr>
            <w:r>
              <w:rPr>
                <w:rFonts w:ascii="Calibri" w:hAnsi="Calibri"/>
                <w:sz w:val="18"/>
              </w:rPr>
              <w:t>Impacto se não atendida</w:t>
            </w:r>
          </w:p>
        </w:tc>
        <w:tc>
          <w:tcPr>
            <w:tcW w:type="dxa" w:w="3120"/>
            <w:vAlign w:val="center"/>
            <w:tcMar>
              <w:top w:w="80" w:type="dxa"/>
              <w:start w:w="120" w:type="dxa"/>
              <w:bottom w:w="80" w:type="dxa"/>
              <w:end w:w="120" w:type="dxa"/>
            </w:tcMar>
          </w:tcPr>
          <w:p>
            <w:pPr>
              <w:spacing w:after="0"/>
            </w:pPr>
            <w:r>
              <w:rPr>
                <w:rFonts w:ascii="Calibri" w:hAnsi="Calibri"/>
                <w:sz w:val="18"/>
              </w:rPr>
              <w:t>Grave</w:t>
            </w:r>
          </w:p>
        </w:tc>
        <w:tc>
          <w:tcPr>
            <w:tcW w:type="dxa" w:w="3120"/>
            <w:vAlign w:val="center"/>
            <w:tcMar>
              <w:top w:w="80" w:type="dxa"/>
              <w:start w:w="120" w:type="dxa"/>
              <w:bottom w:w="80" w:type="dxa"/>
              <w:end w:w="120" w:type="dxa"/>
            </w:tcMar>
          </w:tcPr>
          <w:p>
            <w:pPr>
              <w:spacing w:after="0"/>
            </w:pPr>
            <w:r>
              <w:rPr>
                <w:rFonts w:ascii="Calibri" w:hAnsi="Calibri"/>
                <w:sz w:val="18"/>
              </w:rPr>
              <w:t>Pode afetar disponibilidade, desempenho, segurança, acesso à Internet, contingência e comunicação institucional.</w:t>
            </w:r>
          </w:p>
        </w:tc>
      </w:tr>
      <w:tr>
        <w:tc>
          <w:tcPr>
            <w:tcW w:type="dxa" w:w="3120"/>
            <w:vAlign w:val="center"/>
            <w:tcMar>
              <w:top w:w="80" w:type="dxa"/>
              <w:start w:w="120" w:type="dxa"/>
              <w:bottom w:w="80" w:type="dxa"/>
              <w:end w:w="120" w:type="dxa"/>
            </w:tcMar>
          </w:tcPr>
          <w:p>
            <w:pPr>
              <w:spacing w:after="0"/>
            </w:pPr>
            <w:r>
              <w:rPr>
                <w:rFonts w:ascii="Calibri" w:hAnsi="Calibri"/>
                <w:sz w:val="18"/>
              </w:rPr>
              <w:t>Urgência</w:t>
            </w:r>
          </w:p>
        </w:tc>
        <w:tc>
          <w:tcPr>
            <w:tcW w:type="dxa" w:w="3120"/>
            <w:vAlign w:val="center"/>
            <w:tcMar>
              <w:top w:w="80" w:type="dxa"/>
              <w:start w:w="120" w:type="dxa"/>
              <w:bottom w:w="80" w:type="dxa"/>
              <w:end w:w="120" w:type="dxa"/>
            </w:tcMar>
          </w:tcPr>
          <w:p>
            <w:pPr>
              <w:spacing w:after="0"/>
            </w:pPr>
            <w:r>
              <w:rPr>
                <w:rFonts w:ascii="Calibri" w:hAnsi="Calibri"/>
                <w:sz w:val="18"/>
              </w:rPr>
              <w:t>Alta para planejamento</w:t>
            </w:r>
          </w:p>
        </w:tc>
        <w:tc>
          <w:tcPr>
            <w:tcW w:type="dxa" w:w="3120"/>
            <w:vAlign w:val="center"/>
            <w:tcMar>
              <w:top w:w="80" w:type="dxa"/>
              <w:start w:w="120" w:type="dxa"/>
              <w:bottom w:w="80" w:type="dxa"/>
              <w:end w:w="120" w:type="dxa"/>
            </w:tcMar>
          </w:tcPr>
          <w:p>
            <w:pPr>
              <w:spacing w:after="0"/>
            </w:pPr>
            <w:r>
              <w:rPr>
                <w:rFonts w:ascii="Calibri" w:hAnsi="Calibri"/>
                <w:sz w:val="18"/>
              </w:rPr>
              <w:t>Há necessidade de pesquisa de preços, implantação, testes e entrada em produção dos acessos de Internet centralizados.</w:t>
            </w:r>
          </w:p>
        </w:tc>
      </w:tr>
      <w:tr>
        <w:tc>
          <w:tcPr>
            <w:tcW w:type="dxa" w:w="3120"/>
            <w:vAlign w:val="center"/>
            <w:tcMar>
              <w:top w:w="80" w:type="dxa"/>
              <w:start w:w="120" w:type="dxa"/>
              <w:bottom w:w="80" w:type="dxa"/>
              <w:end w:w="120" w:type="dxa"/>
            </w:tcMar>
          </w:tcPr>
          <w:p>
            <w:pPr>
              <w:spacing w:after="0"/>
            </w:pPr>
            <w:r>
              <w:rPr>
                <w:rFonts w:ascii="Calibri" w:hAnsi="Calibri"/>
                <w:sz w:val="18"/>
              </w:rPr>
              <w:t>Tendência do problema</w:t>
            </w:r>
          </w:p>
        </w:tc>
        <w:tc>
          <w:tcPr>
            <w:tcW w:type="dxa" w:w="3120"/>
            <w:vAlign w:val="center"/>
            <w:tcMar>
              <w:top w:w="80" w:type="dxa"/>
              <w:start w:w="120" w:type="dxa"/>
              <w:bottom w:w="80" w:type="dxa"/>
              <w:end w:w="120" w:type="dxa"/>
            </w:tcMar>
          </w:tcPr>
          <w:p>
            <w:pPr>
              <w:spacing w:after="0"/>
            </w:pPr>
            <w:r>
              <w:rPr>
                <w:rFonts w:ascii="Calibri" w:hAnsi="Calibri"/>
                <w:sz w:val="18"/>
              </w:rPr>
              <w:t>Irá piorar</w:t>
            </w:r>
          </w:p>
        </w:tc>
        <w:tc>
          <w:tcPr>
            <w:tcW w:type="dxa" w:w="3120"/>
            <w:vAlign w:val="center"/>
            <w:tcMar>
              <w:top w:w="80" w:type="dxa"/>
              <w:start w:w="120" w:type="dxa"/>
              <w:bottom w:w="80" w:type="dxa"/>
              <w:end w:w="120" w:type="dxa"/>
            </w:tcMar>
          </w:tcPr>
          <w:p>
            <w:pPr>
              <w:spacing w:after="0"/>
            </w:pPr>
            <w:r>
              <w:rPr>
                <w:rFonts w:ascii="Calibri" w:hAnsi="Calibri"/>
                <w:sz w:val="18"/>
              </w:rPr>
              <w:t>A demanda por tráfego, segurança centralizada, Anti-DDoS, replicação e continuidade tende a crescer.</w:t>
            </w:r>
          </w:p>
        </w:tc>
      </w:tr>
    </w:tbl>
    <w:p/>
    <w:p>
      <w:pPr>
        <w:pStyle w:val="Heading1"/>
      </w:pPr>
      <w:r>
        <w:t>8. Vinculação ou Dependência com Outra Demanda</w:t>
      </w:r>
    </w:p>
    <w:p>
      <w:r>
        <w:t xml:space="preserve">A demanda tem vinculação técnica direta com a conectividade institucional em operação, em especial com o </w:t>
      </w:r>
      <w:r>
        <w:rPr>
          <w:b/>
        </w:rPr>
        <w:t>Contrato 131/2023</w:t>
      </w:r>
      <w:r>
        <w:t xml:space="preserve">, relacionado à prestação de link IP dedicado com SD-WAN, instruído no </w:t>
      </w:r>
      <w:r>
        <w:rPr>
          <w:b/>
        </w:rPr>
        <w:t>SEI 0000030-87.2023.5.10.8000</w:t>
      </w:r>
      <w:r>
        <w:t>. Esse contrato é referência para a topologia vigente, para as capacidades consideradas por localidade e para a integração operacional entre Sede, Foro de Brasília, Prédio de Apoio, Taguatinga, Palmas, Gama, Araguaína, Gurupi, Dianópolis e Guaraí.</w:t>
      </w:r>
    </w:p>
    <w:p>
      <w:r>
        <w:t xml:space="preserve">A instrução também deve considerar, como referências históricas e contratações correlatas de conectividade, os processos </w:t>
      </w:r>
      <w:r>
        <w:rPr>
          <w:b/>
        </w:rPr>
        <w:t>SEI 0007608-72.2021.5.10.8000</w:t>
      </w:r>
      <w:r>
        <w:t xml:space="preserve"> e </w:t>
      </w:r>
      <w:r>
        <w:rPr>
          <w:b/>
        </w:rPr>
        <w:t>SEI 0002027-76.2021.5.10.8000</w:t>
      </w:r>
      <w:r>
        <w:t>, já indicados neste DFD como processos administrativos relacionados à contratação em vigor ou ao histórico de comunicação de dados. Esses processos devem ser consultados para identificar contratos, atas, prazos, obrigações, pontos de integração, escopos residuais e eventuais riscos de sobreposição com esta contratação.</w:t>
      </w:r>
    </w:p>
    <w:p>
      <w:r>
        <w:t>A solução também depende de integração técnica com serviços e contratos correlatos. Eles não substituem o objeto pretendido, mas condicionam sua implantação segura:</w:t>
      </w:r>
    </w:p>
    <w:p>
      <w:pPr>
        <w:pStyle w:val="ListBullet"/>
      </w:pPr>
      <w:r>
        <w:t>redes da Justiça do Trabalho e demais redes institucionais externas, que dependem de rotas, filtros e políticas de acesso coordenadas com a CDTEC;</w:t>
      </w:r>
    </w:p>
    <w:p>
      <w:pPr>
        <w:pStyle w:val="ListBullet"/>
      </w:pPr>
      <w:r>
        <w:t>Infovia, quando utilizada como meio institucional de comunicação, contingência ou interligação com serviços externos;</w:t>
      </w:r>
    </w:p>
    <w:p>
      <w:pPr>
        <w:pStyle w:val="ListBullet"/>
      </w:pPr>
      <w:r>
        <w:t>firewalls, segurança perimetral, VPNs, políticas de NAT, publicação de serviços e inspeção de tráfego;</w:t>
      </w:r>
    </w:p>
    <w:p>
      <w:pPr>
        <w:pStyle w:val="ListBullet"/>
      </w:pPr>
      <w:r>
        <w:t>serviços de DNS, autenticação, diretórios, certificados, monitoramento, logs, SIEM ou plataforma equivalente;</w:t>
      </w:r>
    </w:p>
    <w:p>
      <w:pPr>
        <w:pStyle w:val="ListBullet"/>
      </w:pPr>
      <w:r>
        <w:t>infraestrutura de datacenter, backup, replicação e continuidade, especialmente para uso do link dedicado Sede-Foro de 25 Gbps;</w:t>
      </w:r>
    </w:p>
    <w:p>
      <w:pPr>
        <w:pStyle w:val="ListBullet"/>
      </w:pPr>
      <w:r>
        <w:t>políticas de roteamento, QoS, segmentação, failover e retorno ao caminho preferencial entre MPLS, SD-WAN, Internet da Sede e Internet do Foro.</w:t>
      </w:r>
    </w:p>
    <w:p>
      <w:r>
        <w:t>Os links de Internet centralizados fazem parte do objeto desta contratação e devem operar como os pontos oficiais de egressão à Internet do Tribunal. A Sede será o ponto principal; o Foro de Brasília será o ponto redundante. Durante a implantação, a Administração deve preservar a continuidade dos serviços atualmente suportados pelo Contrato 131/2023 e pelos processos correlatos, evitando interrupção abrupta de rotas, túneis, regras de firewall, DNS, autenticação, monitoramento e acessos externos.</w:t>
      </w:r>
    </w:p>
    <w:p>
      <w:r>
        <w:t>Antes da publicação do edital, a área de contratos deve confirmar, nos autos dos processos citados, a situação vigente dos instrumentos relacionados, incluindo vigência, objeto, itens ativos, fornecedores, localidades atendidas, responsabilidades de suporte, prazos de transição e eventuais cláusulas que impactem a convivência entre a SD-WAN atual, a rede MPLS, o link dedicado Sede-Foro e os links centralizados de Internet.</w:t>
      </w:r>
    </w:p>
    <w:p>
      <w:pPr>
        <w:pStyle w:val="Heading1"/>
      </w:pPr>
      <w:r>
        <w:t>9. Objetivo Estratégico</w:t>
      </w:r>
    </w:p>
    <w:p>
      <w:r>
        <w:t>A contratação se alinha ao objetivo estratégico de aprimorar a governança de TIC e a proteção de dados. Na prática, reforça disponibilidade, continuidade, segurança, monitoramento e desempenho dos serviços digitais do TRT10.</w:t>
      </w:r>
    </w:p>
    <w:p>
      <w:pPr>
        <w:pStyle w:val="Heading1"/>
      </w:pPr>
      <w:r>
        <w:t>10. Informações SIGEO</w:t>
      </w:r>
    </w:p>
    <w:p>
      <w:pPr>
        <w:pStyle w:val="Heading2"/>
      </w:pPr>
      <w:r>
        <w:t>10.1 Processo administrativo da contratação em vigor</w:t>
      </w:r>
    </w:p>
    <w:p>
      <w:r>
        <w:rPr>
          <w:b/>
        </w:rPr>
        <w:t>Processos de referência histórica:</w:t>
      </w:r>
      <w:r>
        <w:t xml:space="preserve"> SEI 0000030-87.2023.5.10.8000, SEI 0007608-72.2021.5.10.8000 e SEI 0002027-76.2021.5.10.8000.</w:t>
      </w:r>
    </w:p>
    <w:p>
      <w:pPr>
        <w:pStyle w:val="Heading2"/>
      </w:pPr>
      <w:r>
        <w:t>10.2 Contrato ou ARP em vigor</w:t>
      </w:r>
    </w:p>
    <w:p>
      <w:r>
        <w:t>Contrato 131/2023, vinculado ao SEI 0000030-87.2023.5.10.8000, relacionado a link IP dedicado com SD-WAN e à conectividade de dados atualmente utilizada como referência para a topologia das unidades.</w:t>
      </w:r>
    </w:p>
    <w:p>
      <w:r>
        <w:t>Para conferir links de dados e de Internet em vigor, ou historicamente vinculados à conectividade institucional, a área de contratos também deve considerar os processos SEI 0007608-72.2021.5.10.8000 e SEI 0002027-76.2021.5.10.8000. Esses processos devem ser verificados para identificação dos contratos ou ARPs correspondentes, fornecedores, vigência, localidades atendidas, capacidades contratadas, serviços de Internet/dados, blocos de IP fixo, suporte, SLA e regras de transição.</w:t>
      </w:r>
    </w:p>
    <w:p>
      <w:r>
        <w:t>A área de contratos deve conferir, antes da publicação do edital, todos os instrumentos vigentes que interajam com a conectividade institucional, especialmente links de dados, links de Internet, SD-WAN, segurança de borda, DNS, roteamento, monitoramento e serviços correlatos, para preservar a continuidade operacional e evitar sobreposição de escopo durante a implantação.</w:t>
      </w:r>
    </w:p>
    <w:p>
      <w:pPr>
        <w:pStyle w:val="Heading2"/>
      </w:pPr>
      <w:r>
        <w:t>10.3 Item SIGEO</w:t>
      </w:r>
    </w:p>
    <w:p>
      <w:r>
        <w:t>Serviços continuados de telecomunicações, comunicação de dados, Internet dedicada, Anti-DDoS e interconexão de unidades.</w:t>
      </w:r>
    </w:p>
    <w:p>
      <w:pPr>
        <w:pStyle w:val="Heading2"/>
      </w:pPr>
      <w:r>
        <w:t>10.4 Estimativa para 12 meses no SIGEO</w:t>
      </w:r>
    </w:p>
    <w:p>
      <w:r>
        <w:t xml:space="preserve">Estimativa de planejamento: </w:t>
      </w:r>
      <w:r>
        <w:rPr>
          <w:b/>
        </w:rPr>
        <w:t>R$ 1.855.854,60</w:t>
      </w:r>
      <w:r>
        <w:t xml:space="preserve"> para 12 meses.</w:t>
      </w:r>
    </w:p>
    <w:p>
      <w:pPr>
        <w:pStyle w:val="Heading1"/>
      </w:pPr>
      <w:r>
        <w:t>11. Servidor Responsável pela Demanda</w:t>
      </w:r>
    </w:p>
    <w:p>
      <w:r>
        <w:t>Nome: Edson Mateus de Sousa - Coordenador da CDTEC</w:t>
      </w:r>
    </w:p>
    <w:p>
      <w:r>
        <w:t>E-mail funcional: cdtec@trt10.jus.br</w:t>
      </w:r>
    </w:p>
    <w:p>
      <w:r>
        <w:t>Telefone: (61) 3348-1249 / 1288 / 1280 / 1188</w:t>
      </w:r>
    </w:p>
    <w:p>
      <w:pPr>
        <w:pStyle w:val="Heading1"/>
      </w:pPr>
      <w:r>
        <w:t>12. Figura 1 - Arquitetura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DFD MPLS TRT10 sem padroes 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