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Bdr>
          <w:bottom w:val="single" w:sz="8" w:space="4" w:color="4F81BD"/>
        </w:pBdr>
        <w:spacing w:before="0" w:after="300"/>
        <w:jc w:val="left"/>
        <w:rPr>
          <w:sz w:val="40"/>
          <w:szCs w:val="40"/>
        </w:rPr>
      </w:pPr>
      <w:r>
        <w:rPr>
          <w:rFonts w:ascii="calibri" w:eastAsia="calibri" w:hAnsi="calibri" w:cs="calibri"/>
          <w:b/>
          <w:bCs/>
          <w:color w:val="01426A"/>
          <w:spacing w:val="5"/>
          <w:sz w:val="40"/>
          <w:szCs w:val="40"/>
        </w:rPr>
        <w:t>DEMAND FORMALIZATION DOCUMENT (DFD)</w:t>
      </w:r>
    </w:p>
    <w:p>
      <w:pPr>
        <w:spacing w:before="0" w:after="120" w:line="264" w:lineRule="auto"/>
        <w:jc w:val="left"/>
        <w:rPr>
          <w:sz w:val="22"/>
          <w:szCs w:val="22"/>
        </w:rPr>
      </w:pPr>
      <w:r>
        <w:rPr>
          <w:rFonts w:ascii="calibri" w:eastAsia="calibri" w:hAnsi="calibri" w:cs="calibri"/>
          <w:b/>
          <w:bCs/>
          <w:sz w:val="22"/>
          <w:szCs w:val="22"/>
        </w:rPr>
        <w:t>Agency: Regional Labor Court of the 10th Region</w:t>
      </w:r>
      <w:r>
        <w:rPr>
          <w:rFonts w:ascii="calibri" w:eastAsia="calibri" w:hAnsi="calibri" w:cs="calibri"/>
          <w:sz w:val="22"/>
          <w:szCs w:val="22"/>
        </w:rPr>
        <w:t xml:space="preserve"> - TRT10</w:t>
      </w:r>
    </w:p>
    <w:p>
      <w:pPr>
        <w:spacing w:before="0" w:after="120" w:line="264" w:lineRule="auto"/>
        <w:jc w:val="left"/>
        <w:rPr>
          <w:sz w:val="22"/>
          <w:szCs w:val="22"/>
        </w:rPr>
      </w:pPr>
      <w:r>
        <w:rPr>
          <w:rFonts w:ascii="calibri" w:eastAsia="calibri" w:hAnsi="calibri" w:cs="calibri"/>
          <w:b/>
          <w:bCs/>
          <w:sz w:val="22"/>
          <w:szCs w:val="22"/>
        </w:rPr>
        <w:t>Requesting Unit: Technology Infrastructure Coordination</w:t>
      </w:r>
      <w:r>
        <w:rPr>
          <w:rFonts w:ascii="calibri" w:eastAsia="calibri" w:hAnsi="calibri" w:cs="calibri"/>
          <w:sz w:val="22"/>
          <w:szCs w:val="22"/>
        </w:rPr>
        <w:t xml:space="preserve"> - CDTEC</w:t>
      </w:r>
    </w:p>
    <w:p>
      <w:pPr>
        <w:spacing w:before="0" w:after="120" w:line="264" w:lineRule="auto"/>
        <w:jc w:val="left"/>
        <w:rPr>
          <w:sz w:val="22"/>
          <w:szCs w:val="22"/>
        </w:rPr>
      </w:pPr>
      <w:r>
        <w:rPr>
          <w:rFonts w:ascii="calibri" w:eastAsia="calibri" w:hAnsi="calibri" w:cs="calibri"/>
          <w:b/>
          <w:bCs/>
          <w:sz w:val="22"/>
          <w:szCs w:val="22"/>
        </w:rPr>
        <w:t>Subject: Procurement of continuous data communication services via MPLS network for the interconnection of TRT10 units to the Headquarters, employing an architecture integrated with the existing SD-WAN. This shall utilize the MPLS network for critical traffic, deploy SD-WAN for Internet access, and implement cross-contingency between communication layer</w:t>
      </w:r>
      <w:r>
        <w:rPr>
          <w:rFonts w:ascii="calibri" w:eastAsia="calibri" w:hAnsi="calibri" w:cs="calibri"/>
          <w:sz w:val="22"/>
          <w:szCs w:val="22"/>
        </w:rPr>
        <w:t>s.</w:t>
      </w:r>
    </w:p>
    <w:p>
      <w:pPr>
        <w:spacing w:before="0" w:after="120" w:line="264" w:lineRule="auto"/>
        <w:jc w:val="left"/>
        <w:rPr>
          <w:sz w:val="22"/>
          <w:szCs w:val="22"/>
        </w:rPr>
      </w:pPr>
      <w:r>
        <w:rPr>
          <w:rFonts w:ascii="calibri" w:eastAsia="calibri" w:hAnsi="calibri" w:cs="calibri"/>
          <w:b/>
          <w:bCs/>
          <w:sz w:val="22"/>
          <w:szCs w:val="22"/>
        </w:rPr>
        <w:t>Version: Preliminary technical draft</w:t>
      </w:r>
    </w:p>
    <w:p>
      <w:pPr>
        <w:spacing w:before="0" w:after="120" w:line="264" w:lineRule="auto"/>
        <w:jc w:val="left"/>
        <w:rPr>
          <w:sz w:val="22"/>
          <w:szCs w:val="22"/>
        </w:rPr>
      </w:pPr>
      <w:r>
        <w:rPr>
          <w:rFonts w:ascii="calibri" w:eastAsia="calibri" w:hAnsi="calibri" w:cs="calibri"/>
          <w:b/>
          <w:bCs/>
          <w:sz w:val="22"/>
          <w:szCs w:val="22"/>
        </w:rPr>
        <w:t>Date: 05/22</w:t>
      </w:r>
      <w:r>
        <w:rPr>
          <w:rFonts w:ascii="calibri" w:eastAsia="calibri" w:hAnsi="calibri" w:cs="calibri"/>
          <w:sz w:val="22"/>
          <w:szCs w:val="22"/>
        </w:rPr>
        <w:t>/2026</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 Requesting Unit</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1.1 Unit Name</w:t>
      </w:r>
    </w:p>
    <w:p>
      <w:pPr>
        <w:spacing w:before="0" w:after="120" w:line="264" w:lineRule="auto"/>
        <w:jc w:val="left"/>
        <w:rPr>
          <w:sz w:val="22"/>
          <w:szCs w:val="22"/>
        </w:rPr>
      </w:pPr>
      <w:r>
        <w:rPr>
          <w:rFonts w:ascii="calibri" w:eastAsia="calibri" w:hAnsi="calibri" w:cs="calibri"/>
          <w:sz w:val="22"/>
          <w:szCs w:val="22"/>
        </w:rPr>
        <w:t>Technology Infrastructure Coordination.</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1.2 Unit Acronym</w:t>
      </w:r>
    </w:p>
    <w:p>
      <w:pPr>
        <w:spacing w:before="0" w:after="120" w:line="264" w:lineRule="auto"/>
        <w:jc w:val="left"/>
        <w:rPr>
          <w:sz w:val="22"/>
          <w:szCs w:val="22"/>
        </w:rPr>
      </w:pPr>
      <w:r>
        <w:rPr>
          <w:rFonts w:ascii="calibri" w:eastAsia="calibri" w:hAnsi="calibri" w:cs="calibri"/>
          <w:sz w:val="22"/>
          <w:szCs w:val="22"/>
        </w:rPr>
        <w:t>CDTEC.</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2. Justification of the Need for Contracting</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2.1 Justification of the Need</w:t>
      </w:r>
    </w:p>
    <w:p>
      <w:pPr>
        <w:spacing w:before="0" w:after="120" w:line="264" w:lineRule="auto"/>
        <w:jc w:val="left"/>
        <w:rPr>
          <w:sz w:val="22"/>
          <w:szCs w:val="22"/>
        </w:rPr>
      </w:pPr>
      <w:r>
        <w:rPr>
          <w:rFonts w:ascii="calibri" w:eastAsia="calibri" w:hAnsi="calibri" w:cs="calibri"/>
          <w:sz w:val="22"/>
          <w:szCs w:val="22"/>
        </w:rPr>
        <w:t>The Regional Labor Court of the 10th Region (TRT10) requires secure and resilient interconnectivity among its constituent units to ensure proper functioning of the Electronic Judicial Process, administrative systems, ICT services, user authentication, collaboration, network access, contingency procedures, technical support, and public services.</w:t>
      </w:r>
    </w:p>
    <w:p>
      <w:pPr>
        <w:spacing w:before="0" w:after="120" w:line="264" w:lineRule="auto"/>
        <w:jc w:val="left"/>
        <w:rPr>
          <w:sz w:val="22"/>
          <w:szCs w:val="22"/>
        </w:rPr>
      </w:pPr>
      <w:r>
        <w:rPr>
          <w:rFonts w:ascii="calibri" w:eastAsia="calibri" w:hAnsi="calibri" w:cs="calibri"/>
          <w:sz w:val="22"/>
          <w:szCs w:val="22"/>
        </w:rPr>
        <w:t>Previous procurement documents show a consistent history of contracting data and Internet communication links, redundancy, and related support services. Specifically:</w:t>
      </w:r>
    </w:p>
    <w:p>
      <w:pPr>
        <w:numPr>
          <w:ilvl w:val="0"/>
          <w:numId w:val="1"/>
        </w:numPr>
        <w:spacing w:before="240" w:after="110" w:line="264" w:lineRule="auto"/>
        <w:ind w:left="720" w:hanging="230"/>
        <w:jc w:val="left"/>
        <w:rPr>
          <w:sz w:val="22"/>
          <w:szCs w:val="22"/>
        </w:rPr>
      </w:pPr>
      <w:r>
        <w:rPr>
          <w:rFonts w:ascii="calibri" w:eastAsia="calibri" w:hAnsi="calibri" w:cs="calibri"/>
          <w:sz w:val="22"/>
          <w:szCs w:val="22"/>
        </w:rPr>
        <w:t>Administrative Process SEI 0000030-87.2023.5.10.8000 evidences the procurement of a dedicated IP Link with SD-WAN for 10 sites, designating bandwidths of 1 Gbps at Headquarters and the Brasília Courthouse, 500 Mbps at Taguatinga Courthouse, Palmas Courthouse, and the Support Building, and 100 Mbps at the remaining units;</w:t>
      </w:r>
    </w:p>
    <w:p>
      <w:pPr>
        <w:numPr>
          <w:ilvl w:val="0"/>
          <w:numId w:val="1"/>
        </w:numPr>
        <w:spacing w:before="110" w:after="110" w:line="264" w:lineRule="auto"/>
        <w:ind w:left="720" w:hanging="230"/>
        <w:jc w:val="left"/>
        <w:rPr>
          <w:sz w:val="22"/>
          <w:szCs w:val="22"/>
        </w:rPr>
      </w:pPr>
      <w:r>
        <w:rPr>
          <w:rFonts w:ascii="calibri" w:eastAsia="calibri" w:hAnsi="calibri" w:cs="calibri"/>
          <w:sz w:val="22"/>
          <w:szCs w:val="22"/>
        </w:rPr>
        <w:t>The same process records a minimum availability of 99.90% for Headquarters and 99.70% for the other locations.</w:t>
      </w:r>
    </w:p>
    <w:p>
      <w:pPr>
        <w:numPr>
          <w:ilvl w:val="0"/>
          <w:numId w:val="1"/>
        </w:numPr>
        <w:spacing w:before="110" w:after="110" w:line="264" w:lineRule="auto"/>
        <w:ind w:left="720" w:hanging="230"/>
        <w:jc w:val="left"/>
        <w:rPr>
          <w:sz w:val="22"/>
          <w:szCs w:val="22"/>
        </w:rPr>
      </w:pPr>
      <w:r>
        <w:rPr>
          <w:rFonts w:ascii="calibri" w:eastAsia="calibri" w:hAnsi="calibri" w:cs="calibri"/>
          <w:sz w:val="22"/>
          <w:szCs w:val="22"/>
        </w:rPr>
        <w:t>Previous processes for the Internet and unit links indicate the need for redundancy, monitoring, availability, ticket opening, penalties for unavailability, and maintenance of service continuity.</w:t>
      </w:r>
    </w:p>
    <w:p>
      <w:pPr>
        <w:numPr>
          <w:ilvl w:val="0"/>
          <w:numId w:val="1"/>
        </w:numPr>
        <w:spacing w:before="110" w:after="240" w:line="264" w:lineRule="auto"/>
        <w:ind w:left="720" w:hanging="230"/>
        <w:jc w:val="left"/>
        <w:rPr>
          <w:sz w:val="22"/>
          <w:szCs w:val="22"/>
        </w:rPr>
      </w:pPr>
      <w:r>
        <w:rPr>
          <w:rFonts w:ascii="calibri" w:eastAsia="calibri" w:hAnsi="calibri" w:cs="calibri"/>
          <w:sz w:val="22"/>
          <w:szCs w:val="22"/>
        </w:rPr>
        <w:t>2021/2022 documents already recorded that the Brasília Courthouse and Support Building were connected to Headquarters via MPLS network and Infovia, demonstrating that traffic concentration at Headquarters and private interconnection of the units are part of the Court's architectural history.</w:t>
      </w:r>
    </w:p>
    <w:p>
      <w:pPr>
        <w:spacing w:before="0" w:after="120" w:line="264" w:lineRule="auto"/>
        <w:jc w:val="left"/>
        <w:rPr>
          <w:sz w:val="22"/>
          <w:szCs w:val="22"/>
        </w:rPr>
      </w:pPr>
      <w:r>
        <w:rPr>
          <w:rFonts w:ascii="calibri" w:eastAsia="calibri" w:hAnsi="calibri" w:cs="calibri"/>
          <w:sz w:val="22"/>
          <w:szCs w:val="22"/>
        </w:rPr>
        <w:t>This new demand will provide secure and predictable connectivity for all TRT10 units by implementing a dedicated MPLS service for critical traffic alongside the current SD-WAN for Internet access. Key benefits include improved reliability, increased redundancy, centralized security, and more efficient management of data flows, ensuring service continuity and better support for judicial and administrative functions.</w:t>
      </w:r>
    </w:p>
    <w:p>
      <w:pPr>
        <w:spacing w:before="0" w:after="120" w:line="264" w:lineRule="auto"/>
        <w:jc w:val="left"/>
        <w:rPr>
          <w:sz w:val="22"/>
          <w:szCs w:val="22"/>
        </w:rPr>
      </w:pPr>
      <w:r>
        <w:rPr>
          <w:rFonts w:ascii="calibri" w:eastAsia="calibri" w:hAnsi="calibri" w:cs="calibri"/>
          <w:sz w:val="22"/>
          <w:szCs w:val="22"/>
        </w:rPr>
        <w:t>This contract is designed to supplement, rather than replace, the existing SD-WAN infrastructure. The MPLS layer, with reduced capacity, shall serve critical corporate traffic, ensuring logical isolation, controlled routing, and operational continuity. Under standard operating conditions, critical systems and services—designated by CDTEC—shall utilize MPLS, while SD-WAN shall handle Internet access and related external services. Should any communication layer experience unavailability or performance degradation, both MPLS and SD-WAN may be employed for any class of traffic, in accordance with contingency and routing policies defined in the executive project.</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2.1.1 Possible Solutions Considered</w:t>
      </w:r>
    </w:p>
    <w:p>
      <w:pPr>
        <w:spacing w:before="0" w:after="120" w:line="264" w:lineRule="auto"/>
        <w:jc w:val="left"/>
        <w:rPr>
          <w:sz w:val="22"/>
          <w:szCs w:val="22"/>
        </w:rPr>
      </w:pPr>
      <w:r>
        <w:rPr>
          <w:rFonts w:ascii="calibri" w:eastAsia="calibri" w:hAnsi="calibri" w:cs="calibri"/>
          <w:sz w:val="22"/>
          <w:szCs w:val="22"/>
        </w:rPr>
        <w:t>Three architectural alternatives were considered to meet the need: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631"/>
        <w:gridCol w:w="3051"/>
        <w:gridCol w:w="464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Alternativa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Sintese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Avaliacao preliminar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Solucao 1 - MPLS integrado a SD-WAN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Contratar MPLS para trafego critico e manter SD-WAN para Internet, com contingencia cruzada entre as camadas.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Alternativa preferencial, por combinar rede privada, QoS, centralizacao na Sede, aproveitamento da SD-WAN existente e resiliencia operacional.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Solucao 2 - Links satelitais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Contratar enlaces satelitais para cumprir papel equivalente ao MPLS na interconexao das unidades.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Alternativa util para contingencia extrema ou localidades sem cobertura terrestre, mas com maior latencia, possivel variabilidade e menor aderencia ao trafego critico sensivel.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Solucao 3 - Links de Internet comuns com VPN ponto a ponto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Usar acessos convencionais de Internet com tuneis VPN entre unidades e Sede.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Alternativa de menor complexidade inicial, porem com menor previsibilidade, maior esforco de operacao, maior exposicao e maior dependencia da qualidade da Internet local.</w:t>
            </w:r>
          </w:p>
        </w:tc>
      </w:tr>
    </w:tbl>
    <w:p>
      <w:pPr>
        <w:spacing w:before="110" w:after="110" w:line="264" w:lineRule="auto"/>
        <w:jc w:val="left"/>
        <w:rPr>
          <w:sz w:val="22"/>
          <w:szCs w:val="22"/>
        </w:rPr>
      </w:pPr>
    </w:p>
    <w:p>
      <w:pPr>
        <w:spacing w:before="0" w:after="120" w:line="264" w:lineRule="auto"/>
        <w:jc w:val="left"/>
        <w:rPr>
          <w:sz w:val="22"/>
          <w:szCs w:val="22"/>
        </w:rPr>
      </w:pPr>
      <w:r>
        <w:rPr>
          <w:rFonts w:ascii="calibri" w:eastAsia="calibri" w:hAnsi="calibri" w:cs="calibri"/>
          <w:sz w:val="22"/>
          <w:szCs w:val="22"/>
        </w:rPr>
        <w:t>Solution 1 is the preferred option for the ETP development, as it preserves existing SD-WAN investments, adds a private layer for critical traffic, and enables Headquarters to centralize security, control, and monitoring policies using its three redundant Internet exits.</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2.2 Does the need for contracting arise from a legal requirement?</w:t>
      </w:r>
    </w:p>
    <w:p>
      <w:pPr>
        <w:spacing w:before="0" w:after="120" w:line="264" w:lineRule="auto"/>
        <w:jc w:val="left"/>
        <w:rPr>
          <w:sz w:val="22"/>
          <w:szCs w:val="22"/>
        </w:rPr>
      </w:pPr>
      <w:r>
        <w:rPr>
          <w:rFonts w:ascii="calibri" w:eastAsia="calibri" w:hAnsi="calibri" w:cs="calibri"/>
          <w:sz w:val="22"/>
          <w:szCs w:val="22"/>
        </w:rPr>
        <w:t>There is no legal requirement to contract MPLS specifically. The need is based on the administrative obligation to ensure continuity, availability, security, and performance of ICT services supporting judicial and administrative activities.</w:t>
      </w:r>
    </w:p>
    <w:p>
      <w:pPr>
        <w:spacing w:before="0" w:after="120" w:line="264" w:lineRule="auto"/>
        <w:jc w:val="left"/>
        <w:rPr>
          <w:sz w:val="22"/>
          <w:szCs w:val="22"/>
        </w:rPr>
      </w:pPr>
      <w:r>
        <w:rPr>
          <w:rFonts w:ascii="calibri" w:eastAsia="calibri" w:hAnsi="calibri" w:cs="calibri"/>
          <w:sz w:val="22"/>
          <w:szCs w:val="22"/>
        </w:rPr>
        <w:t>The demand is related to Law No. 14,133/2021, especially regarding contracting planning, the ETP, and Terms of Reference, and to ENTIC-JUD 2021-2026, established by CNJ Resolution No. 370/2021, which guides ICT governance of the Judiciary and the availability of digital services. Previous documents also cite the guideline of providing sufficient links between units and the agency, as well as communication links with the Internet, preferably from different providers.</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2.3 Which units will benefit?</w:t>
      </w:r>
    </w:p>
    <w:p>
      <w:pPr>
        <w:spacing w:before="0" w:after="120" w:line="264" w:lineRule="auto"/>
        <w:jc w:val="left"/>
        <w:rPr>
          <w:sz w:val="22"/>
          <w:szCs w:val="22"/>
        </w:rPr>
      </w:pPr>
      <w:r>
        <w:rPr>
          <w:rFonts w:ascii="calibri" w:eastAsia="calibri" w:hAnsi="calibri" w:cs="calibri"/>
          <w:sz w:val="22"/>
          <w:szCs w:val="22"/>
        </w:rPr>
        <w:t>All TRT10 units served by the institutional network will benefit: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479"/>
        <w:gridCol w:w="1453"/>
        <w:gridCol w:w="1405"/>
        <w:gridCol w:w="1914"/>
        <w:gridCol w:w="1425"/>
        <w:gridCol w:w="165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Item</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Unidade / Localidade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Endereco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Municipio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UF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CEP</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Edificio Sede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SAS Quadra 1, Bloco D, Praca dos Tribunais Superiores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Brasilia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70.097-900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Brasilia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SEPN 513, Bloco B, Lotes 2/3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Brasilia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70.760-522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Taguatinga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Quadra C12, Bloco O, Lotes 1 a 5 e 8 a 12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Taguatinga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72.010-120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do Gama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Area Especial 01, Praca 02, Lote 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72.405-610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Araguaina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Av. Neief Murad, 1131, Jardim Goias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Araguaina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77.824-022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Palmas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Quadra 302 Norte, Conjunto QI 12, Alameda 2, Lote 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Palmas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77.066-338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Gurupi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Rua Antonio Lisboa da Cruz, 2031, Centro, Setor Central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Gurupi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77.405-100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Dianopolis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Avenida Wolney Filho, Qd. 69 A, Setor Novo Horizonte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Dianopolis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77.300-000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Guarai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Avenida Araguaia, esquina com Av. Bernardo Sayao, 1360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Guarai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77.700-000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Predio de Apoio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SGAN 916 Norte, Lote AI, Asa Norte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Brasilia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70.790-160</w:t>
            </w:r>
          </w:p>
        </w:tc>
      </w:tr>
    </w:tbl>
    <w:p>
      <w:pPr>
        <w:spacing w:before="110" w:after="110" w:line="264" w:lineRule="auto"/>
        <w:jc w:val="left"/>
        <w:rPr>
          <w:sz w:val="22"/>
          <w:szCs w:val="22"/>
        </w:rPr>
      </w:pP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2.4 Consequences of not meeting the demand</w:t>
      </w:r>
    </w:p>
    <w:p>
      <w:pPr>
        <w:numPr>
          <w:ilvl w:val="0"/>
          <w:numId w:val="2"/>
        </w:numPr>
        <w:spacing w:before="240" w:after="110" w:line="264" w:lineRule="auto"/>
        <w:ind w:left="720" w:hanging="230"/>
        <w:jc w:val="left"/>
        <w:rPr>
          <w:sz w:val="22"/>
          <w:szCs w:val="22"/>
        </w:rPr>
      </w:pPr>
      <w:r>
        <w:rPr>
          <w:rFonts w:ascii="calibri" w:eastAsia="calibri" w:hAnsi="calibri" w:cs="calibri"/>
          <w:sz w:val="22"/>
          <w:szCs w:val="22"/>
        </w:rPr>
        <w:t>There would be a continued exclusive reliance on SD-WAN as the sole structured communication layer for corporate interconnectivity.</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There would be reduced predictability for the transmission of critical traffic in the event of Internet link degradation.</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Concentrating security, monitoring, traffic filtering, and control policies at Headquarters would become more challenging.</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There would be an increased risk of unavailability or degradation of access to judicial and administrative systems.</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Contingency routes, support mechanisms, replication processes, authentication systems, and institutional services would have diminished resilience.</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Significant challenges would impede the advancement toward an architecture that prioritizes centralized Internet access at Headquarters, fully leveraging the three redundant exits, and adequately maintaining logical separation between critical and Internet traffic.</w:t>
      </w:r>
    </w:p>
    <w:p>
      <w:pPr>
        <w:numPr>
          <w:ilvl w:val="0"/>
          <w:numId w:val="2"/>
        </w:numPr>
        <w:spacing w:before="110" w:after="240" w:line="264" w:lineRule="auto"/>
        <w:ind w:left="720" w:hanging="230"/>
        <w:jc w:val="left"/>
        <w:rPr>
          <w:sz w:val="22"/>
          <w:szCs w:val="22"/>
        </w:rPr>
      </w:pPr>
      <w:r>
        <w:rPr>
          <w:rFonts w:ascii="calibri" w:eastAsia="calibri" w:hAnsi="calibri" w:cs="calibri"/>
          <w:sz w:val="22"/>
          <w:szCs w:val="22"/>
        </w:rPr>
        <w:t>There would be an increased risk of non-compliance with ICT governance guidelines concerning availability, capacity, security, and continuity of services.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3. Brief Description of the Object</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3.1 Object of the Contracting</w:t>
      </w:r>
    </w:p>
    <w:p>
      <w:pPr>
        <w:spacing w:before="0" w:after="120" w:line="264" w:lineRule="auto"/>
        <w:jc w:val="left"/>
        <w:rPr>
          <w:sz w:val="22"/>
          <w:szCs w:val="22"/>
        </w:rPr>
      </w:pPr>
      <w:r>
        <w:rPr>
          <w:rFonts w:ascii="calibri" w:eastAsia="calibri" w:hAnsi="calibri" w:cs="calibri"/>
          <w:sz w:val="22"/>
          <w:szCs w:val="22"/>
        </w:rPr>
        <w:t>The scope consists of engaging a specialized firm to deliver continuous data communication services via MPLS network, encompassing the provision, installation, and configuration of requisite equipment, monitoring solutions, technical support, maintenance, and stipulated service level guarantees, with the objective of interconnecting TRT10 units to Headquarters and ensuring seamless integration with the existing SD-WAN.</w:t>
      </w:r>
    </w:p>
    <w:p>
      <w:pPr>
        <w:spacing w:before="0" w:after="120" w:line="264" w:lineRule="auto"/>
        <w:jc w:val="left"/>
        <w:rPr>
          <w:sz w:val="22"/>
          <w:szCs w:val="22"/>
        </w:rPr>
      </w:pPr>
      <w:r>
        <w:rPr>
          <w:rFonts w:ascii="calibri" w:eastAsia="calibri" w:hAnsi="calibri" w:cs="calibri"/>
          <w:sz w:val="22"/>
          <w:szCs w:val="22"/>
        </w:rPr>
        <w:t>The contracting shall:</w:t>
      </w:r>
    </w:p>
    <w:p>
      <w:pPr>
        <w:numPr>
          <w:ilvl w:val="0"/>
          <w:numId w:val="3"/>
        </w:numPr>
        <w:spacing w:before="240" w:after="110" w:line="264" w:lineRule="auto"/>
        <w:ind w:left="720" w:hanging="230"/>
        <w:jc w:val="left"/>
        <w:rPr>
          <w:sz w:val="22"/>
          <w:szCs w:val="22"/>
        </w:rPr>
      </w:pPr>
      <w:r>
        <w:rPr>
          <w:rFonts w:ascii="calibri" w:eastAsia="calibri" w:hAnsi="calibri" w:cs="calibri"/>
          <w:sz w:val="22"/>
          <w:szCs w:val="22"/>
        </w:rPr>
        <w:t>interconnect all other locations to Headquarters via MPLS;</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maintain compatibility with the existing SD-WAN topology;</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allow preferential use of MPLS for critical traffic and SD-WAN for Internet traffic;</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allow cross-contingency, so that MPLS and SD-WAN can transport critical or Internet traffic in case of unavailability or degradation of one of the layers;</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allow controlled routing for preferential Internet exit through Headquarters;</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integrate with JT, Infovia, and other institutional networks as technically defined by TRT10;</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enable QoS, logical segregation, and prioritization of critical traffic;</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include support, monitoring, and monthly availability reports;</w:t>
      </w:r>
    </w:p>
    <w:p>
      <w:pPr>
        <w:numPr>
          <w:ilvl w:val="0"/>
          <w:numId w:val="3"/>
        </w:numPr>
        <w:spacing w:before="110" w:after="240" w:line="264" w:lineRule="auto"/>
        <w:ind w:left="720" w:hanging="230"/>
        <w:jc w:val="left"/>
        <w:rPr>
          <w:sz w:val="22"/>
          <w:szCs w:val="22"/>
        </w:rPr>
      </w:pPr>
      <w:r>
        <w:rPr>
          <w:rFonts w:ascii="calibri" w:eastAsia="calibri" w:hAnsi="calibri" w:cs="calibri"/>
          <w:sz w:val="22"/>
          <w:szCs w:val="22"/>
        </w:rPr>
        <w:t>avoid specification by brand, manufacturer, or model, except when indispensable and technically justified at a later stage.</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4. Quantity to Be Contracted</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4.1 Estimated Quantity per Year</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279"/>
        <w:gridCol w:w="1453"/>
        <w:gridCol w:w="1725"/>
        <w:gridCol w:w="1687"/>
        <w:gridCol w:w="1691"/>
        <w:gridCol w:w="149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Item</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Localidade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Capacidade SD-WAN atual recuperada dos documentos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Capacidade MPLS proposta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Quantidade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Unidade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Edificio Sede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Brasilia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Predio de Apoio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Taguatinga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Palmas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do Gama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Araguaina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Gurupi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Dianopolis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Guarai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mes</w:t>
            </w:r>
          </w:p>
        </w:tc>
      </w:tr>
    </w:tbl>
    <w:p>
      <w:pPr>
        <w:spacing w:before="110" w:after="110" w:line="264" w:lineRule="auto"/>
        <w:jc w:val="left"/>
        <w:rPr>
          <w:sz w:val="22"/>
          <w:szCs w:val="22"/>
        </w:rPr>
      </w:pPr>
    </w:p>
    <w:p>
      <w:pPr>
        <w:spacing w:before="0" w:after="120" w:line="264" w:lineRule="auto"/>
        <w:jc w:val="left"/>
        <w:rPr>
          <w:sz w:val="22"/>
          <w:szCs w:val="22"/>
        </w:rPr>
      </w:pPr>
      <w:r>
        <w:rPr>
          <w:rFonts w:ascii="calibri" w:eastAsia="calibri" w:hAnsi="calibri" w:cs="calibri"/>
          <w:sz w:val="22"/>
          <w:szCs w:val="22"/>
        </w:rPr>
        <w:t>The proposed MPLS capacities are an initial technical hypothesis for planning and should be validated through traffic analysis, system criticality, simultaneity, QoS, expected growth, current SD-WAN performance, and market research.</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4.2 Is the estimate based on historical demand?</w:t>
      </w:r>
    </w:p>
    <w:p>
      <w:pPr>
        <w:spacing w:before="0" w:after="120" w:line="264" w:lineRule="auto"/>
        <w:jc w:val="left"/>
        <w:rPr>
          <w:sz w:val="22"/>
          <w:szCs w:val="22"/>
        </w:rPr>
      </w:pPr>
      <w:r>
        <w:rPr>
          <w:rFonts w:ascii="calibri" w:eastAsia="calibri" w:hAnsi="calibri" w:cs="calibri"/>
          <w:sz w:val="22"/>
          <w:szCs w:val="22"/>
        </w:rPr>
        <w:t>Yes. The estimate considers the history of TRT10's data communication contracting, notably:</w:t>
      </w:r>
    </w:p>
    <w:p>
      <w:pPr>
        <w:numPr>
          <w:ilvl w:val="0"/>
          <w:numId w:val="4"/>
        </w:numPr>
        <w:spacing w:before="240" w:after="110" w:line="264" w:lineRule="auto"/>
        <w:ind w:left="720" w:hanging="230"/>
        <w:jc w:val="left"/>
        <w:rPr>
          <w:sz w:val="22"/>
          <w:szCs w:val="22"/>
        </w:rPr>
      </w:pPr>
      <w:r>
        <w:rPr>
          <w:rFonts w:ascii="calibri" w:eastAsia="calibri" w:hAnsi="calibri" w:cs="calibri"/>
          <w:sz w:val="22"/>
          <w:szCs w:val="22"/>
        </w:rPr>
        <w:t>Contract 131/2023, referring to a dedicated IP Link with SD-WAN for 10 locations, with an initial term of 5 years and the possibility of extension;</w:t>
      </w:r>
    </w:p>
    <w:p>
      <w:pPr>
        <w:numPr>
          <w:ilvl w:val="0"/>
          <w:numId w:val="4"/>
        </w:numPr>
        <w:spacing w:before="110" w:after="110" w:line="264" w:lineRule="auto"/>
        <w:ind w:left="720" w:hanging="230"/>
        <w:jc w:val="left"/>
        <w:rPr>
          <w:sz w:val="22"/>
          <w:szCs w:val="22"/>
        </w:rPr>
      </w:pPr>
      <w:r>
        <w:rPr>
          <w:rFonts w:ascii="calibri" w:eastAsia="calibri" w:hAnsi="calibri" w:cs="calibri"/>
          <w:sz w:val="22"/>
          <w:szCs w:val="22"/>
        </w:rPr>
        <w:t>previous contracts for Internet with Anti-DDoS for Headquarters, Brasília Courthouse, and Support Building;</w:t>
      </w:r>
    </w:p>
    <w:p>
      <w:pPr>
        <w:numPr>
          <w:ilvl w:val="0"/>
          <w:numId w:val="4"/>
        </w:numPr>
        <w:spacing w:before="110" w:after="110" w:line="264" w:lineRule="auto"/>
        <w:ind w:left="720" w:hanging="230"/>
        <w:jc w:val="left"/>
        <w:rPr>
          <w:sz w:val="22"/>
          <w:szCs w:val="22"/>
        </w:rPr>
      </w:pPr>
      <w:r>
        <w:rPr>
          <w:rFonts w:ascii="calibri" w:eastAsia="calibri" w:hAnsi="calibri" w:cs="calibri"/>
          <w:sz w:val="22"/>
          <w:szCs w:val="22"/>
        </w:rPr>
        <w:t>previous contracting of Internet links for Tocantins units;</w:t>
      </w:r>
    </w:p>
    <w:p>
      <w:pPr>
        <w:numPr>
          <w:ilvl w:val="0"/>
          <w:numId w:val="4"/>
        </w:numPr>
        <w:spacing w:before="110" w:after="240" w:line="264" w:lineRule="auto"/>
        <w:ind w:left="720" w:hanging="230"/>
        <w:jc w:val="left"/>
        <w:rPr>
          <w:sz w:val="22"/>
          <w:szCs w:val="22"/>
        </w:rPr>
      </w:pPr>
      <w:r>
        <w:rPr>
          <w:rFonts w:ascii="calibri" w:eastAsia="calibri" w:hAnsi="calibri" w:cs="calibri"/>
          <w:sz w:val="22"/>
          <w:szCs w:val="22"/>
        </w:rPr>
        <w:t>documentary mentions of MPLS and Infovia connectivity as means of redundancy and interconnection with Headquarters.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5. Preliminary Estimate of the Contract Value</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5.1 Estimated contract value</w:t>
      </w:r>
    </w:p>
    <w:p>
      <w:pPr>
        <w:spacing w:before="0" w:after="120" w:line="264" w:lineRule="auto"/>
        <w:jc w:val="left"/>
        <w:rPr>
          <w:sz w:val="22"/>
          <w:szCs w:val="22"/>
        </w:rPr>
      </w:pPr>
      <w:r>
        <w:rPr>
          <w:rFonts w:ascii="calibri" w:eastAsia="calibri" w:hAnsi="calibri" w:cs="calibri"/>
          <w:sz w:val="22"/>
          <w:szCs w:val="22"/>
        </w:rPr>
        <w:t>The official value should be determined by the competent authority through formal price research. As this draft does not incorporate current market research, no definitive value estimate is provided.</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5.2 How was the preliminary value determined?</w:t>
      </w:r>
    </w:p>
    <w:p>
      <w:pPr>
        <w:spacing w:before="0" w:after="120" w:line="264" w:lineRule="auto"/>
        <w:jc w:val="left"/>
        <w:rPr>
          <w:sz w:val="22"/>
          <w:szCs w:val="22"/>
        </w:rPr>
      </w:pPr>
      <w:r>
        <w:rPr>
          <w:rFonts w:ascii="calibri" w:eastAsia="calibri" w:hAnsi="calibri" w:cs="calibri"/>
          <w:sz w:val="22"/>
          <w:szCs w:val="22"/>
        </w:rPr>
        <w:t>For initial reference, previous documents record historical values for data communication and Internet contracts, but these values should not be used directly in the current budget without methodological updating, scope comparison, market research, and consideration of differences between dedicated Internet, SD-WAN, and MPLS.</w:t>
      </w:r>
    </w:p>
    <w:p>
      <w:pPr>
        <w:spacing w:before="0" w:after="120" w:line="264" w:lineRule="auto"/>
        <w:jc w:val="left"/>
        <w:rPr>
          <w:sz w:val="22"/>
          <w:szCs w:val="22"/>
        </w:rPr>
      </w:pPr>
      <w:r>
        <w:rPr>
          <w:rFonts w:ascii="calibri" w:eastAsia="calibri" w:hAnsi="calibri" w:cs="calibri"/>
          <w:sz w:val="22"/>
          <w:szCs w:val="22"/>
        </w:rPr>
        <w:t>The research should observe at least:</w:t>
      </w:r>
    </w:p>
    <w:p>
      <w:pPr>
        <w:numPr>
          <w:ilvl w:val="0"/>
          <w:numId w:val="5"/>
        </w:numPr>
        <w:spacing w:before="240" w:after="110" w:line="264" w:lineRule="auto"/>
        <w:ind w:left="720" w:hanging="230"/>
        <w:jc w:val="left"/>
        <w:rPr>
          <w:sz w:val="22"/>
          <w:szCs w:val="22"/>
        </w:rPr>
      </w:pPr>
      <w:r>
        <w:rPr>
          <w:rFonts w:ascii="calibri" w:eastAsia="calibri" w:hAnsi="calibri" w:cs="calibri"/>
          <w:sz w:val="22"/>
          <w:szCs w:val="22"/>
        </w:rPr>
        <w:t>public prices of MPLS services or similar corporate private networks;</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capacities by location;</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installation, equipment, and activation costs;</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intended contract term;</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required SLA;</w:t>
      </w:r>
    </w:p>
    <w:p>
      <w:pPr>
        <w:numPr>
          <w:ilvl w:val="0"/>
          <w:numId w:val="5"/>
        </w:numPr>
        <w:spacing w:before="110" w:after="240" w:line="264" w:lineRule="auto"/>
        <w:ind w:left="720" w:hanging="230"/>
        <w:jc w:val="left"/>
        <w:rPr>
          <w:sz w:val="22"/>
          <w:szCs w:val="22"/>
        </w:rPr>
      </w:pPr>
      <w:r>
        <w:rPr>
          <w:rFonts w:ascii="calibri" w:eastAsia="calibri" w:hAnsi="calibri" w:cs="calibri"/>
          <w:sz w:val="22"/>
          <w:szCs w:val="22"/>
        </w:rPr>
        <w:t>possible need for distinct physical routes, QoS, VRF, BGP/OSPF, or monitoring.</w:t>
      </w:r>
    </w:p>
    <w:p>
      <w:pPr>
        <w:spacing w:before="0" w:after="120" w:line="264" w:lineRule="auto"/>
        <w:jc w:val="left"/>
        <w:rPr>
          <w:sz w:val="22"/>
          <w:szCs w:val="22"/>
        </w:rPr>
      </w:pPr>
      <w:r>
        <w:rPr>
          <w:rFonts w:ascii="calibri" w:eastAsia="calibri" w:hAnsi="calibri" w:cs="calibri"/>
          <w:sz w:val="22"/>
          <w:szCs w:val="22"/>
        </w:rPr>
        <w:t>Until there is formal research, the value estimate should remain as a planning pending issue, without prejudice to the continuity of the technical structuring of the DFD, ETP, and TR.</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5.3 Similar contracts to be detailed in the research</w:t>
      </w:r>
    </w:p>
    <w:p>
      <w:pPr>
        <w:spacing w:before="0" w:after="120" w:line="264" w:lineRule="auto"/>
        <w:jc w:val="left"/>
        <w:rPr>
          <w:sz w:val="22"/>
          <w:szCs w:val="22"/>
        </w:rPr>
      </w:pPr>
      <w:r>
        <w:rPr>
          <w:rFonts w:ascii="calibri" w:eastAsia="calibri" w:hAnsi="calibri" w:cs="calibri"/>
          <w:sz w:val="22"/>
          <w:szCs w:val="22"/>
        </w:rPr>
        <w:t>To support the ETP, the TR, price research, SLA definition, and validation of technical specifications, contracts that have the greatest similarity with the architecture intended by TRT10 should be prioritized. Similarity should consider: use of MPLS, L3VPN, L2L, or corporate private network; interconnection of multiple units to a concentrator point; fiber optic; CPE or router included; monitoring; support; availability; and capacities close to 50 Mbps, 100 Mbps, 200 Mbps, 500 Mbps, and 1 Gbps.</w:t>
      </w:r>
    </w:p>
    <w:p>
      <w:pPr>
        <w:spacing w:before="0" w:after="120" w:line="264" w:lineRule="auto"/>
        <w:jc w:val="left"/>
        <w:rPr>
          <w:sz w:val="22"/>
          <w:szCs w:val="22"/>
        </w:rPr>
      </w:pPr>
      <w:r>
        <w:rPr>
          <w:rFonts w:ascii="calibri" w:eastAsia="calibri" w:hAnsi="calibri" w:cs="calibri"/>
          <w:sz w:val="22"/>
          <w:szCs w:val="22"/>
        </w:rPr>
        <w:t>As main references, it is recommended to detail:</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2782"/>
        <w:gridCol w:w="1982"/>
        <w:gridCol w:w="222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Prioridade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Contratacao/produto similar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Motivo da similaridade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Informacoes a buscar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Solucao de Rede Privada Virtual MPLS sobre Fibra Optica para interligacao de 45 pontos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Rede privada, multiplos pontos, fibra optica e interligacao institucional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 ETP, SLA, matriz de riscos, precos por ponto, CPE, concentrador e monitoramento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Redes Privadas LAN-to-LAN ou MPLS entre Data Center Municipal e unidades remotas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Topologia semelhante a hub-and-spoke, com concentrador e unidades remotas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Arquitetura, aceite, disponibilidade, roteamento, suporte e valores mensais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Servico de Link de Comunicacao Multimidia Concentrador L3VPN/MPLS, 3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Comparavel ao papel da Sede como concentrador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Requisitos do concentrador, SLA, QoS, roteamento, suporte e preco do link central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Servicos de Link de Comunicacao Multimidia L3VPN/MPLS de 100 Mbps, 200 Mbps e 400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Comparavel aos circuitos das unidades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Preco mensal por capacidade, instalacao, CPE, SLA e prazo de reparo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Circuitos MPLS oticos com roteador, simples e duplos, em 50 Mbps, 100 Mbps, 200 Mbps, 500 Mbps e 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Aderente a capacidades propostas e a exigencia de equipamento gerenciado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Diferenca de preco entre circuito simples e duplo, instalacao, roteador e disponibilidade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Servico de acesso link de dados com tecnologia MPLS Capital/Interior, 50 Mbps a 1 Gbps, por 60 meses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Permite comparar capital/interior, prazo e velocidades proximas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Planilha de itens, valores unitarios, vigencia, reajuste, SLA e suporte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Rede MPLS ou superior / SD-WAN Interior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Alta aderencia por envolver MPLS e SD-WAN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Justificativa da arquitetura hibrida, failover, roteamento, SLA e precos</w:t>
            </w:r>
          </w:p>
        </w:tc>
      </w:tr>
    </w:tbl>
    <w:p>
      <w:pPr>
        <w:spacing w:before="110" w:after="110" w:line="264" w:lineRule="auto"/>
        <w:jc w:val="left"/>
        <w:rPr>
          <w:sz w:val="22"/>
          <w:szCs w:val="22"/>
        </w:rPr>
      </w:pPr>
    </w:p>
    <w:p>
      <w:pPr>
        <w:spacing w:before="0" w:after="120" w:line="264" w:lineRule="auto"/>
        <w:jc w:val="left"/>
        <w:rPr>
          <w:sz w:val="22"/>
          <w:szCs w:val="22"/>
        </w:rPr>
      </w:pPr>
      <w:r>
        <w:rPr>
          <w:rFonts w:ascii="calibri" w:eastAsia="calibri" w:hAnsi="calibri" w:cs="calibri"/>
          <w:sz w:val="22"/>
          <w:szCs w:val="22"/>
        </w:rPr>
        <w:t>As secondary references, contracts for IP transport with fiber optics, tunneling support, VLANs, TCP/IP, and MPLS routing; multiservice IP networks with operation, maintenance, and monitoring; MPLS/L2L services; and dedicated links with MPLS or EAPS, and a dual approach may be analyzed. These references are useful for technical requirements and availability, but should be carefully evaluated when there is no complete corporate private network or when the main object is only Internet.</w:t>
      </w:r>
    </w:p>
    <w:p>
      <w:pPr>
        <w:spacing w:before="0" w:after="120" w:line="264" w:lineRule="auto"/>
        <w:jc w:val="left"/>
        <w:rPr>
          <w:sz w:val="22"/>
          <w:szCs w:val="22"/>
        </w:rPr>
      </w:pPr>
      <w:r>
        <w:rPr>
          <w:rFonts w:ascii="calibri" w:eastAsia="calibri" w:hAnsi="calibri" w:cs="calibri"/>
          <w:sz w:val="22"/>
          <w:szCs w:val="22"/>
        </w:rPr>
        <w:t>For the comparison of ETP alternatives, references for satellite links and common Internet links with point-to-point VPN should be sought. These references will serve to justify the rejection or secondary classification of Solutions 2 and 3, especially regarding latency, predictability, SLA, exposure surface, operational cost, and adherence to critical traffic.</w:t>
      </w:r>
    </w:p>
    <w:p>
      <w:pPr>
        <w:spacing w:before="0" w:after="120" w:line="264" w:lineRule="auto"/>
        <w:jc w:val="left"/>
        <w:rPr>
          <w:sz w:val="22"/>
          <w:szCs w:val="22"/>
        </w:rPr>
      </w:pPr>
      <w:r>
        <w:rPr>
          <w:rFonts w:ascii="calibri" w:eastAsia="calibri" w:hAnsi="calibri" w:cs="calibri"/>
          <w:sz w:val="22"/>
          <w:szCs w:val="22"/>
        </w:rPr>
        <w:t>Items such as the acquisition of switches, stand-alone routers, IP telephony, web server, system integration, local network installation, fiber fusion, or equipment maintenance should not be used as the main price reference for this contracting, as such objects do not represent a continuous service of a corporate private network interconnecting units to Headquarters.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6. Intended Date for Completion of the Contracting</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6.1 Start date of validity</w:t>
      </w:r>
    </w:p>
    <w:p>
      <w:pPr>
        <w:spacing w:before="0" w:after="120" w:line="264" w:lineRule="auto"/>
        <w:jc w:val="left"/>
        <w:rPr>
          <w:sz w:val="22"/>
          <w:szCs w:val="22"/>
        </w:rPr>
      </w:pPr>
      <w:r>
        <w:rPr>
          <w:rFonts w:ascii="calibri" w:eastAsia="calibri" w:hAnsi="calibri" w:cs="calibri"/>
          <w:sz w:val="22"/>
          <w:szCs w:val="22"/>
        </w:rPr>
        <w:t>It is suggested that the new contract be in force before any milestone of termination or degradation of related contracts that support the units' connectivity, observing the minimum lead time for the processing of planning artifacts.</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6.2 Is it a continuous service?</w:t>
      </w:r>
    </w:p>
    <w:p>
      <w:pPr>
        <w:spacing w:before="0" w:after="120" w:line="264" w:lineRule="auto"/>
        <w:jc w:val="left"/>
        <w:rPr>
          <w:sz w:val="22"/>
          <w:szCs w:val="22"/>
        </w:rPr>
      </w:pPr>
      <w:r>
        <w:rPr>
          <w:rFonts w:ascii="calibri" w:eastAsia="calibri" w:hAnsi="calibri" w:cs="calibri"/>
          <w:sz w:val="22"/>
          <w:szCs w:val="22"/>
        </w:rPr>
        <w:t>Yes. It is a continuous data communication service, essential for the permanent operation of TRT10 units.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7. Priority Level of the Contracting</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7.1 Table for identification of priority level</w:t>
      </w:r>
    </w:p>
    <w:p>
      <w:pPr>
        <w:spacing w:before="110" w:after="110" w:line="264" w:lineRule="auto"/>
        <w:jc w:val="left"/>
        <w:rPr>
          <w:sz w:val="22"/>
          <w:szCs w:val="22"/>
        </w:rPr>
      </w:pPr>
      <w:r>
        <w:rPr>
          <w:sz w:val="22"/>
          <w:szCs w:val="22"/>
        </w:rPr>
        <w:t>Criterion | Suggested Marking | Justification</w:t>
      </w:r>
    </w:p>
    <w:p>
      <w:pPr>
        <w:spacing w:before="120" w:after="120"/>
        <w:jc w:val="left"/>
      </w:pPr>
      <w:r>
        <w:t>--- | --- | ---</w:t>
      </w:r>
    </w:p>
    <w:p>
      <w:pPr>
        <w:spacing w:before="120" w:after="120"/>
        <w:jc w:val="left"/>
      </w:pPr>
      <w:r>
        <w:t>Impact if not met | Severe | May affect availability, performance, contingency, and security of institutional communication.</w:t>
      </w:r>
    </w:p>
    <w:p>
      <w:pPr>
        <w:spacing w:before="120" w:after="120"/>
        <w:jc w:val="left"/>
      </w:pPr>
      <w:r>
        <w:t>Urgency | Not urgent, but needs to be carried out as soon as possible | Planning, price research, implementation, and assisted operation are needed, avoiding a break in continuity.</w:t>
      </w:r>
    </w:p>
    <w:p>
      <w:pPr>
        <w:spacing w:before="120" w:after="120"/>
        <w:jc w:val="left"/>
      </w:pPr>
      <w:r>
        <w:t>Tendency of the problem | Will get worse | The demand for corporate traffic, centralized security, and continuity tends to grow.</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8. Linkage or Dependency with Another Demand</w:t>
      </w:r>
    </w:p>
    <w:p>
      <w:pPr>
        <w:spacing w:before="0" w:after="120" w:line="264" w:lineRule="auto"/>
        <w:jc w:val="left"/>
        <w:rPr>
          <w:sz w:val="22"/>
          <w:szCs w:val="22"/>
        </w:rPr>
      </w:pPr>
      <w:r>
        <w:rPr>
          <w:rFonts w:ascii="calibri" w:eastAsia="calibri" w:hAnsi="calibri" w:cs="calibri"/>
          <w:sz w:val="22"/>
          <w:szCs w:val="22"/>
        </w:rPr>
        <w:t>The demand has a technical linkage with:</w:t>
      </w:r>
    </w:p>
    <w:p>
      <w:pPr>
        <w:numPr>
          <w:ilvl w:val="0"/>
          <w:numId w:val="6"/>
        </w:numPr>
        <w:spacing w:before="240" w:after="110" w:line="264" w:lineRule="auto"/>
        <w:ind w:left="720" w:hanging="230"/>
        <w:jc w:val="left"/>
        <w:rPr>
          <w:sz w:val="22"/>
          <w:szCs w:val="22"/>
        </w:rPr>
      </w:pPr>
      <w:r>
        <w:rPr>
          <w:rFonts w:ascii="calibri" w:eastAsia="calibri" w:hAnsi="calibri" w:cs="calibri"/>
          <w:sz w:val="22"/>
          <w:szCs w:val="22"/>
        </w:rPr>
        <w:t>current SD-WAN contract, object of process SEI 0000030-87.2023.5.10.8000;</w:t>
      </w:r>
    </w:p>
    <w:p>
      <w:pPr>
        <w:numPr>
          <w:ilvl w:val="0"/>
          <w:numId w:val="6"/>
        </w:numPr>
        <w:spacing w:before="110" w:after="110" w:line="264" w:lineRule="auto"/>
        <w:ind w:left="720" w:hanging="230"/>
        <w:jc w:val="left"/>
        <w:rPr>
          <w:sz w:val="22"/>
          <w:szCs w:val="22"/>
        </w:rPr>
      </w:pPr>
      <w:r>
        <w:rPr>
          <w:rFonts w:ascii="calibri" w:eastAsia="calibri" w:hAnsi="calibri" w:cs="calibri"/>
          <w:sz w:val="22"/>
          <w:szCs w:val="22"/>
        </w:rPr>
        <w:t>Internet and Anti-DDoS contracts of Headquarters and other units;</w:t>
      </w:r>
    </w:p>
    <w:p>
      <w:pPr>
        <w:numPr>
          <w:ilvl w:val="0"/>
          <w:numId w:val="6"/>
        </w:numPr>
        <w:spacing w:before="110" w:after="110" w:line="264" w:lineRule="auto"/>
        <w:ind w:left="720" w:hanging="230"/>
        <w:jc w:val="left"/>
        <w:rPr>
          <w:sz w:val="22"/>
          <w:szCs w:val="22"/>
        </w:rPr>
      </w:pPr>
      <w:r>
        <w:rPr>
          <w:rFonts w:ascii="calibri" w:eastAsia="calibri" w:hAnsi="calibri" w:cs="calibri"/>
          <w:sz w:val="22"/>
          <w:szCs w:val="22"/>
        </w:rPr>
        <w:t>JT networks, Infovia, and perimeter security architecture;</w:t>
      </w:r>
    </w:p>
    <w:p>
      <w:pPr>
        <w:numPr>
          <w:ilvl w:val="0"/>
          <w:numId w:val="6"/>
        </w:numPr>
        <w:spacing w:before="110" w:after="240" w:line="264" w:lineRule="auto"/>
        <w:ind w:left="720" w:hanging="230"/>
        <w:jc w:val="left"/>
        <w:rPr>
          <w:sz w:val="22"/>
          <w:szCs w:val="22"/>
        </w:rPr>
      </w:pPr>
      <w:r>
        <w:rPr>
          <w:rFonts w:ascii="calibri" w:eastAsia="calibri" w:hAnsi="calibri" w:cs="calibri"/>
          <w:sz w:val="22"/>
          <w:szCs w:val="22"/>
        </w:rPr>
        <w:t>project to centralize the Internet exit at Headquarters, with 3 redundant exits.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9. Strategic Objective</w:t>
      </w:r>
    </w:p>
    <w:p>
      <w:pPr>
        <w:spacing w:before="0" w:after="120" w:line="264" w:lineRule="auto"/>
        <w:jc w:val="left"/>
        <w:rPr>
          <w:sz w:val="22"/>
          <w:szCs w:val="22"/>
        </w:rPr>
      </w:pPr>
      <w:r>
        <w:rPr>
          <w:rFonts w:ascii="calibri" w:eastAsia="calibri" w:hAnsi="calibri" w:cs="calibri"/>
          <w:sz w:val="22"/>
          <w:szCs w:val="22"/>
        </w:rPr>
        <w:t>The contracting aligns with the strategic objective of improving ICT Governance and data protection, contributing to availability, continuity, security, monitoring, and performance of TRT10's digital services.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10. SIGEO Information</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10.1 Ongoing administrative process of the contracting</w:t>
      </w:r>
    </w:p>
    <w:p>
      <w:pPr>
        <w:spacing w:before="0" w:after="120" w:line="264" w:lineRule="auto"/>
        <w:jc w:val="left"/>
        <w:rPr>
          <w:sz w:val="22"/>
          <w:szCs w:val="22"/>
        </w:rPr>
      </w:pPr>
      <w:r>
        <w:rPr>
          <w:rFonts w:ascii="calibri" w:eastAsia="calibri" w:hAnsi="calibri" w:cs="calibri"/>
          <w:sz w:val="22"/>
          <w:szCs w:val="22"/>
        </w:rPr>
        <w:t>Historical reference processes: SEI 0000030-87.2023.5.10.8000, SEI 0007608-72.2021.5.10.8000, and SEI 0002027-76.2021.5.10.8000.</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10.2 Ongoing contract or ARP</w:t>
      </w:r>
    </w:p>
    <w:p>
      <w:pPr>
        <w:spacing w:before="0" w:after="120" w:line="264" w:lineRule="auto"/>
        <w:jc w:val="left"/>
        <w:rPr>
          <w:sz w:val="22"/>
          <w:szCs w:val="22"/>
        </w:rPr>
      </w:pPr>
      <w:r>
        <w:rPr>
          <w:rFonts w:ascii="calibri" w:eastAsia="calibri" w:hAnsi="calibri" w:cs="calibri"/>
          <w:sz w:val="22"/>
          <w:szCs w:val="22"/>
        </w:rPr>
        <w:t>Contract 131/2023 related to dedicated IP Link with SD-WAN. Previous Internet/Anti-DDoS contracts and unit links should be checked by the contracts area for update of validity and number in SIGEO.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10.3 SIGEO Item</w:t>
      </w:r>
    </w:p>
    <w:p>
      <w:pPr>
        <w:spacing w:before="0" w:after="120" w:line="264" w:lineRule="auto"/>
        <w:jc w:val="left"/>
        <w:rPr>
          <w:sz w:val="22"/>
          <w:szCs w:val="22"/>
        </w:rPr>
      </w:pPr>
      <w:r>
        <w:rPr>
          <w:rFonts w:ascii="calibri" w:eastAsia="calibri" w:hAnsi="calibri" w:cs="calibri"/>
          <w:sz w:val="22"/>
          <w:szCs w:val="22"/>
        </w:rPr>
        <w:t>To be informed by the competent area.</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10.4 12-month estimate in SIGEO</w:t>
      </w:r>
    </w:p>
    <w:p>
      <w:pPr>
        <w:spacing w:before="0" w:after="120" w:line="264" w:lineRule="auto"/>
        <w:jc w:val="left"/>
        <w:rPr>
          <w:sz w:val="22"/>
          <w:szCs w:val="22"/>
        </w:rPr>
      </w:pPr>
      <w:r>
        <w:rPr>
          <w:rFonts w:ascii="calibri" w:eastAsia="calibri" w:hAnsi="calibri" w:cs="calibri"/>
          <w:sz w:val="22"/>
          <w:szCs w:val="22"/>
        </w:rPr>
        <w:t>To be informed after price research.</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11. Server Responsible for the Demand</w:t>
      </w:r>
    </w:p>
    <w:p>
      <w:pPr>
        <w:spacing w:before="0" w:after="120" w:line="264" w:lineRule="auto"/>
        <w:jc w:val="left"/>
        <w:rPr>
          <w:sz w:val="22"/>
          <w:szCs w:val="22"/>
        </w:rPr>
      </w:pPr>
      <w:r>
        <w:rPr>
          <w:rFonts w:ascii="calibri" w:eastAsia="calibri" w:hAnsi="calibri" w:cs="calibri"/>
          <w:b/>
          <w:bCs/>
          <w:sz w:val="22"/>
          <w:szCs w:val="22"/>
        </w:rPr>
        <w:t>Name:</w:t>
      </w:r>
      <w:r>
        <w:rPr>
          <w:rFonts w:ascii="calibri" w:eastAsia="calibri" w:hAnsi="calibri" w:cs="calibri"/>
          <w:sz w:val="22"/>
          <w:szCs w:val="22"/>
        </w:rPr>
        <w:t xml:space="preserve"> Edson Mateus de Sousa - CDTEC Coordinator</w:t>
      </w:r>
    </w:p>
    <w:p>
      <w:pPr>
        <w:spacing w:before="0" w:after="120" w:line="264" w:lineRule="auto"/>
        <w:jc w:val="left"/>
        <w:rPr>
          <w:sz w:val="22"/>
          <w:szCs w:val="22"/>
        </w:rPr>
      </w:pPr>
      <w:r>
        <w:rPr>
          <w:rFonts w:ascii="calibri" w:eastAsia="calibri" w:hAnsi="calibri" w:cs="calibri"/>
          <w:b/>
          <w:bCs/>
          <w:sz w:val="22"/>
          <w:szCs w:val="22"/>
        </w:rPr>
        <w:t>Corporate e-mail:</w:t>
      </w:r>
      <w:r>
        <w:rPr>
          <w:rFonts w:ascii="calibri" w:eastAsia="calibri" w:hAnsi="calibri" w:cs="calibri"/>
          <w:sz w:val="22"/>
          <w:szCs w:val="22"/>
        </w:rPr>
        <w:t xml:space="preserve"> cdtec@trt10.jus.br</w:t>
      </w:r>
    </w:p>
    <w:p>
      <w:pPr>
        <w:spacing w:before="0" w:after="120" w:line="264" w:lineRule="auto"/>
        <w:jc w:val="left"/>
        <w:rPr>
          <w:sz w:val="22"/>
          <w:szCs w:val="22"/>
        </w:rPr>
      </w:pPr>
      <w:r>
        <w:rPr>
          <w:rFonts w:ascii="calibri" w:eastAsia="calibri" w:hAnsi="calibri" w:cs="calibri"/>
          <w:b/>
          <w:bCs/>
          <w:sz w:val="22"/>
          <w:szCs w:val="22"/>
        </w:rPr>
        <w:t>Phone:</w:t>
      </w:r>
      <w:r>
        <w:rPr>
          <w:rFonts w:ascii="calibri" w:eastAsia="calibri" w:hAnsi="calibri" w:cs="calibri"/>
          <w:sz w:val="22"/>
          <w:szCs w:val="22"/>
        </w:rPr>
        <w:t xml:space="preserve"> (61) 3348-1249 / 1288 / 1280 / 1188</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12. Figure 1 - Proposed SD-WAN + MPLS Architecture</w:t>
      </w:r>
    </w:p>
    <w:p>
      <w:pPr>
        <w:spacing w:before="110" w:after="110" w:line="264" w:lineRule="auto"/>
        <w:jc w:val="left"/>
        <w:rPr>
          <w:sz w:val="22"/>
          <w:szCs w:val="22"/>
        </w:rPr>
      </w:pPr>
    </w:p>
    <w:p>
      <w:pPr>
        <w:spacing w:before="0" w:after="120" w:line="264" w:lineRule="auto"/>
        <w:jc w:val="center"/>
        <w:rPr>
          <w:sz w:val="18"/>
          <w:szCs w:val="18"/>
        </w:rPr>
      </w:pPr>
      <w:r>
        <w:rPr>
          <w:rFonts w:ascii="calibri" w:eastAsia="calibri" w:hAnsi="calibri" w:cs="calibri"/>
          <w:i/>
          <w:iCs/>
          <w:sz w:val="18"/>
          <w:szCs w:val="18"/>
        </w:rPr>
        <w:t>Figure 1 - Proposed SD-WAN + MPLS Architecture</w:t>
      </w:r>
    </w:p>
    <w:sectPr>
      <w:footerReference w:type="default" r:id="rId4"/>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0" w:after="0"/>
      <w:rPr>
        <w:sz w:val="16"/>
        <w:szCs w:val="16"/>
      </w:rPr>
    </w:pPr>
    <w:r>
      <w:rPr>
        <w:color w:val="555555"/>
        <w:sz w:val="16"/>
        <w:szCs w:val="16"/>
      </w:rPr>
      <w:t>DFD MPLS TRT10</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DFD_MPLS_TRT10</dc:title>
  <cp:revision>0</cp:revision>
</cp:coreProperties>
</file>