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Bdr>
          <w:bottom w:val="single" w:sz="8" w:space="4" w:color="4F81BD"/>
        </w:pBdr>
        <w:spacing w:before="0" w:after="300"/>
        <w:jc w:val="left"/>
        <w:rPr>
          <w:sz w:val="40"/>
          <w:szCs w:val="40"/>
        </w:rPr>
      </w:pPr>
      <w:r>
        <w:rPr>
          <w:rFonts w:ascii="calibri" w:eastAsia="calibri" w:hAnsi="calibri" w:cs="calibri"/>
          <w:b/>
          <w:bCs/>
          <w:color w:val="01426A"/>
          <w:spacing w:val="5"/>
          <w:sz w:val="40"/>
          <w:szCs w:val="40"/>
        </w:rPr>
        <w:t>DOCUMENTO DE FORMALIZAÇÃO DA DEMANDA (DFD)</w:t>
      </w:r>
    </w:p>
    <w:p>
      <w:pPr>
        <w:spacing w:before="0" w:after="120" w:line="264" w:lineRule="auto"/>
        <w:jc w:val="left"/>
        <w:rPr>
          <w:sz w:val="22"/>
          <w:szCs w:val="22"/>
        </w:rPr>
      </w:pPr>
      <w:r>
        <w:rPr>
          <w:rFonts w:ascii="calibri" w:eastAsia="calibri" w:hAnsi="calibri" w:cs="calibri"/>
          <w:b/>
          <w:bCs/>
          <w:sz w:val="22"/>
          <w:szCs w:val="22"/>
        </w:rPr>
        <w:t>Órgão: Tribunal Regional do Trabalho da 10ª Região - TRT10</w:t>
      </w:r>
    </w:p>
    <w:p>
      <w:pPr>
        <w:spacing w:before="0" w:after="120" w:line="264" w:lineRule="auto"/>
        <w:jc w:val="left"/>
        <w:rPr>
          <w:sz w:val="22"/>
          <w:szCs w:val="22"/>
        </w:rPr>
      </w:pPr>
      <w:r>
        <w:rPr>
          <w:rFonts w:ascii="calibri" w:eastAsia="calibri" w:hAnsi="calibri" w:cs="calibri"/>
          <w:b/>
          <w:bCs/>
          <w:sz w:val="22"/>
          <w:szCs w:val="22"/>
        </w:rPr>
        <w:t>Unidade Requisitante: Coordenadoria de Infraestrutura Tecnológica - CDTEC</w:t>
      </w:r>
    </w:p>
    <w:p>
      <w:pPr>
        <w:spacing w:before="0" w:after="120" w:line="264" w:lineRule="auto"/>
        <w:jc w:val="left"/>
        <w:rPr>
          <w:sz w:val="22"/>
          <w:szCs w:val="22"/>
        </w:rPr>
      </w:pPr>
      <w:r>
        <w:rPr>
          <w:rFonts w:ascii="calibri" w:eastAsia="calibri" w:hAnsi="calibri" w:cs="calibri"/>
          <w:b/>
          <w:bCs/>
          <w:sz w:val="22"/>
          <w:szCs w:val="22"/>
        </w:rPr>
        <w:t>Assunto: Contratação de serviços contínuos de comunicação de dados por meio de rede MPLS para a interconexão das unidades do TRT10 à Sede, empregando arquitetura integrada à SD-WAN existente. Deverá utilizar a rede MPLS para tráfego crítico, empregar a SD-WAN para acesso à Internet e implementar contingência cruzada entre as camadas de comunicação.</w:t>
      </w:r>
    </w:p>
    <w:p>
      <w:pPr>
        <w:spacing w:before="0" w:after="120" w:line="264" w:lineRule="auto"/>
        <w:jc w:val="left"/>
        <w:rPr>
          <w:sz w:val="22"/>
          <w:szCs w:val="22"/>
        </w:rPr>
      </w:pPr>
      <w:r>
        <w:rPr>
          <w:rFonts w:ascii="calibri" w:eastAsia="calibri" w:hAnsi="calibri" w:cs="calibri"/>
          <w:b/>
          <w:bCs/>
          <w:sz w:val="22"/>
          <w:szCs w:val="22"/>
        </w:rPr>
        <w:t>Versão: Minuta técnica preliminar</w:t>
      </w:r>
    </w:p>
    <w:p>
      <w:pPr>
        <w:spacing w:before="0" w:after="120" w:line="264" w:lineRule="auto"/>
        <w:jc w:val="left"/>
        <w:rPr>
          <w:sz w:val="22"/>
          <w:szCs w:val="22"/>
        </w:rPr>
      </w:pPr>
      <w:r>
        <w:rPr>
          <w:rFonts w:ascii="calibri" w:eastAsia="calibri" w:hAnsi="calibri" w:cs="calibri"/>
          <w:b/>
          <w:bCs/>
          <w:sz w:val="22"/>
          <w:szCs w:val="22"/>
        </w:rPr>
        <w:t>Data: 22/05/2026</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 Unidade Requisitante</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1.1 Nome da Unidade</w:t>
      </w:r>
    </w:p>
    <w:p>
      <w:pPr>
        <w:spacing w:before="0" w:after="120" w:line="264" w:lineRule="auto"/>
        <w:jc w:val="left"/>
        <w:rPr>
          <w:sz w:val="22"/>
          <w:szCs w:val="22"/>
        </w:rPr>
      </w:pPr>
      <w:r>
        <w:rPr>
          <w:rFonts w:ascii="calibri" w:eastAsia="calibri" w:hAnsi="calibri" w:cs="calibri"/>
          <w:sz w:val="22"/>
          <w:szCs w:val="22"/>
        </w:rPr>
        <w:t>Coordenadoria de Infraestrutura Tecnológica.</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1.2 Sigla da Unidade</w:t>
      </w:r>
    </w:p>
    <w:p>
      <w:pPr>
        <w:spacing w:before="0" w:after="120" w:line="264" w:lineRule="auto"/>
        <w:jc w:val="left"/>
        <w:rPr>
          <w:sz w:val="22"/>
          <w:szCs w:val="22"/>
        </w:rPr>
      </w:pPr>
      <w:r>
        <w:rPr>
          <w:rFonts w:ascii="calibri" w:eastAsia="calibri" w:hAnsi="calibri" w:cs="calibri"/>
          <w:sz w:val="22"/>
          <w:szCs w:val="22"/>
        </w:rPr>
        <w:t>CDTEC.</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2. Justificativa da Necessidade da Contratação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2.1 Justificativa da Necessidade</w:t>
      </w:r>
    </w:p>
    <w:p>
      <w:pPr>
        <w:spacing w:before="0" w:after="120" w:line="264" w:lineRule="auto"/>
        <w:jc w:val="left"/>
        <w:rPr>
          <w:sz w:val="22"/>
          <w:szCs w:val="22"/>
        </w:rPr>
      </w:pPr>
      <w:r>
        <w:rPr>
          <w:rFonts w:ascii="calibri" w:eastAsia="calibri" w:hAnsi="calibri" w:cs="calibri"/>
          <w:sz w:val="22"/>
          <w:szCs w:val="22"/>
        </w:rPr>
        <w:t>O Tribunal Regional do Trabalho da 10ª Região (TRT10) necessita de interconectividade segura e resiliente entre suas unidades para assegurar o adequado funcionamento do Processo Judicial Eletrônico, dos sistemas administrativos, dos serviços de TIC, da autenticação de usuários, da colaboração, do acesso à rede, dos procedimentos de contingência, do suporte técnico e dos serviços públicos.</w:t>
      </w:r>
    </w:p>
    <w:p>
      <w:pPr>
        <w:spacing w:before="0" w:after="120" w:line="264" w:lineRule="auto"/>
        <w:jc w:val="left"/>
        <w:rPr>
          <w:sz w:val="22"/>
          <w:szCs w:val="22"/>
        </w:rPr>
      </w:pPr>
      <w:r>
        <w:rPr>
          <w:rFonts w:ascii="calibri" w:eastAsia="calibri" w:hAnsi="calibri" w:cs="calibri"/>
          <w:sz w:val="22"/>
          <w:szCs w:val="22"/>
        </w:rPr>
        <w:t>Documentos de contratações anteriores demonstram histórico consistente de contratação de enlaces de comunicação de dados e Internet, redundância e serviços de suporte relacionados. Especificamente:</w:t>
      </w:r>
    </w:p>
    <w:p>
      <w:pPr>
        <w:numPr>
          <w:ilvl w:val="0"/>
          <w:numId w:val="1"/>
        </w:numPr>
        <w:spacing w:before="240" w:after="110" w:line="264" w:lineRule="auto"/>
        <w:ind w:left="720" w:hanging="230"/>
        <w:jc w:val="left"/>
        <w:rPr>
          <w:sz w:val="22"/>
          <w:szCs w:val="22"/>
        </w:rPr>
      </w:pPr>
      <w:r>
        <w:rPr>
          <w:rFonts w:ascii="calibri" w:eastAsia="calibri" w:hAnsi="calibri" w:cs="calibri"/>
          <w:sz w:val="22"/>
          <w:szCs w:val="22"/>
        </w:rPr>
        <w:t>O Processo Administrativo SEI 0000030-87.2023.5.10.8000 evidencia a contratação de Link IP dedicado com SD-WAN para 10 localidades, designando larguras de banda de 1 Gbps na Sede e no Foro de Brasília, 500 Mbps no Foro de Taguatinga, no Foro de Palmas e no Prédio de Apoio, e 100 Mbps nas demais unidades;</w:t>
      </w:r>
    </w:p>
    <w:p>
      <w:pPr>
        <w:numPr>
          <w:ilvl w:val="0"/>
          <w:numId w:val="1"/>
        </w:numPr>
        <w:spacing w:before="110" w:after="110" w:line="264" w:lineRule="auto"/>
        <w:ind w:left="720" w:hanging="230"/>
        <w:jc w:val="left"/>
        <w:rPr>
          <w:sz w:val="22"/>
          <w:szCs w:val="22"/>
        </w:rPr>
      </w:pPr>
      <w:r>
        <w:rPr>
          <w:rFonts w:ascii="calibri" w:eastAsia="calibri" w:hAnsi="calibri" w:cs="calibri"/>
          <w:sz w:val="22"/>
          <w:szCs w:val="22"/>
        </w:rPr>
        <w:t>O mesmo processo registra disponibilidade mínima de 99,90% para a Sede e de 99,70% para as demais localidades.</w:t>
      </w:r>
    </w:p>
    <w:p>
      <w:pPr>
        <w:numPr>
          <w:ilvl w:val="0"/>
          <w:numId w:val="1"/>
        </w:numPr>
        <w:spacing w:before="110" w:after="110" w:line="264" w:lineRule="auto"/>
        <w:ind w:left="720" w:hanging="230"/>
        <w:jc w:val="left"/>
        <w:rPr>
          <w:sz w:val="22"/>
          <w:szCs w:val="22"/>
        </w:rPr>
      </w:pPr>
      <w:r>
        <w:rPr>
          <w:rFonts w:ascii="calibri" w:eastAsia="calibri" w:hAnsi="calibri" w:cs="calibri"/>
          <w:sz w:val="22"/>
          <w:szCs w:val="22"/>
        </w:rPr>
        <w:t>Processos anteriores relativos à Internet e aos enlaces das unidades indicam a necessidade de redundância, monitoramento, disponibilidade, abertura de chamados, penalidades por indisponibilidade e manutenção da continuidade dos serviços.</w:t>
      </w:r>
    </w:p>
    <w:p>
      <w:pPr>
        <w:numPr>
          <w:ilvl w:val="0"/>
          <w:numId w:val="1"/>
        </w:numPr>
        <w:spacing w:before="110" w:after="240" w:line="264" w:lineRule="auto"/>
        <w:ind w:left="720" w:hanging="230"/>
        <w:jc w:val="left"/>
        <w:rPr>
          <w:sz w:val="22"/>
          <w:szCs w:val="22"/>
        </w:rPr>
      </w:pPr>
      <w:r>
        <w:rPr>
          <w:rFonts w:ascii="calibri" w:eastAsia="calibri" w:hAnsi="calibri" w:cs="calibri"/>
          <w:sz w:val="22"/>
          <w:szCs w:val="22"/>
        </w:rPr>
        <w:t>Documentos de 2021/2022 já registravam que o Foro de Brasília e o Prédio de Apoio estavam conectados à Sede por meio de rede MPLS e Infovia, demonstrando que a concentração do tráfego na Sede e a interconexão privada das unidades fazem parte do histórico arquitetural do Tribunal.</w:t>
      </w:r>
    </w:p>
    <w:p>
      <w:pPr>
        <w:spacing w:before="0" w:after="120" w:line="264" w:lineRule="auto"/>
        <w:jc w:val="left"/>
        <w:rPr>
          <w:sz w:val="22"/>
          <w:szCs w:val="22"/>
        </w:rPr>
      </w:pPr>
      <w:r>
        <w:rPr>
          <w:rFonts w:ascii="calibri" w:eastAsia="calibri" w:hAnsi="calibri" w:cs="calibri"/>
          <w:sz w:val="22"/>
          <w:szCs w:val="22"/>
        </w:rPr>
        <w:t>Esta nova demanda proporcionará conectividade segura e previsível para todas as unidades do TRT10 mediante a implantação de serviço MPLS dedicado ao tráfego crítico, em paralelo à SD-WAN atual para acesso à Internet. Entre os principais benefícios estão a melhoria da confiabilidade, o aumento da redundância, a segurança centralizada e o gerenciamento mais eficiente dos fluxos de dados, assegurando a continuidade dos serviços e melhor suporte às funções judiciais e administrativas.</w:t>
      </w:r>
    </w:p>
    <w:p>
      <w:pPr>
        <w:spacing w:before="0" w:after="120" w:line="264" w:lineRule="auto"/>
        <w:jc w:val="left"/>
        <w:rPr>
          <w:sz w:val="22"/>
          <w:szCs w:val="22"/>
        </w:rPr>
      </w:pPr>
      <w:r>
        <w:rPr>
          <w:rFonts w:ascii="calibri" w:eastAsia="calibri" w:hAnsi="calibri" w:cs="calibri"/>
          <w:sz w:val="22"/>
          <w:szCs w:val="22"/>
        </w:rPr>
        <w:t>Esta contratação foi concebida para complementar, e não substituir, a infraestrutura SD-WAN existente. A camada MPLS, com capacidade reduzida, deverá atender ao tráfego corporativo crítico, assegurando isolamento lógico, roteamento controlado e continuidade operacional. Em condições normais de operação, os sistemas e serviços críticos — designados pela CDTEC — deverão utilizar a MPLS, enquanto a SD-WAN deverá tratar o acesso à Internet e os serviços externos relacionados. Caso qualquer camada de comunicação apresente indisponibilidade ou degradação de desempenho, tanto a MPLS quanto a SD-WAN poderão ser empregadas para qualquer classe de tráfego, conforme as políticas de contingência e roteamento definidas no projeto executivo.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2.1.1 Soluções Possíveis Consideradas</w:t>
      </w:r>
    </w:p>
    <w:p>
      <w:pPr>
        <w:spacing w:before="0" w:after="120" w:line="264" w:lineRule="auto"/>
        <w:jc w:val="left"/>
        <w:rPr>
          <w:sz w:val="22"/>
          <w:szCs w:val="22"/>
        </w:rPr>
      </w:pPr>
      <w:r>
        <w:rPr>
          <w:rFonts w:ascii="calibri" w:eastAsia="calibri" w:hAnsi="calibri" w:cs="calibri"/>
          <w:sz w:val="22"/>
          <w:szCs w:val="22"/>
        </w:rPr>
        <w:t>Foram consideradas três alternativas arquiteturais para atender à necessidade: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631"/>
        <w:gridCol w:w="3051"/>
        <w:gridCol w:w="464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Alternativa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Síntese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Avaliação preliminar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Solução 1 - MPLS integrado à SD-WAN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Contratar MPLS para tráfego crítico e manter SD-WAN para Internet, com contingência cruzada entre as camadas.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Alternativa preferencial, por combinar rede privada, QoS, centralização na Sede, aproveitamento da SD-WAN existente e resiliência operacional.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Solução 2 - Links satelitais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Contratar enlaces satelitais para cumprir papel equivalente ao MPLS na interconexão das unidades.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Alternativa útil para contingência extrema ou localidades sem cobertura terrestre, mas com maior latência, possível variabilidade e menor aderência ao tráfego crítico sensível.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Solução 3 - Links de Internet comuns com VPN ponto a ponto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Usar acessos convencionais de Internet com túneis VPN entre unidades e Sede.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Alternativa de menor complexidade inicial, porém com menor previsibilidade, maior esforço de operação, maior exposição e maior dependência da qualidade da Internet local.</w:t>
            </w:r>
          </w:p>
        </w:tc>
      </w:tr>
    </w:tbl>
    <w:p>
      <w:pPr>
        <w:spacing w:before="110" w:after="110" w:line="264" w:lineRule="auto"/>
        <w:jc w:val="left"/>
        <w:rPr>
          <w:sz w:val="22"/>
          <w:szCs w:val="22"/>
        </w:rPr>
      </w:pPr>
    </w:p>
    <w:p>
      <w:pPr>
        <w:spacing w:before="0" w:after="120" w:line="264" w:lineRule="auto"/>
        <w:jc w:val="left"/>
        <w:rPr>
          <w:sz w:val="22"/>
          <w:szCs w:val="22"/>
        </w:rPr>
      </w:pPr>
      <w:r>
        <w:rPr>
          <w:rFonts w:ascii="calibri" w:eastAsia="calibri" w:hAnsi="calibri" w:cs="calibri"/>
          <w:sz w:val="22"/>
          <w:szCs w:val="22"/>
        </w:rPr>
        <w:t>A Solução 1 é a opção preferencial para o desenvolvimento do ETP, pois preserva os investimentos existentes em SD-WAN, acrescenta uma camada privada para tráfego crítico e permite que a Sede centralize políticas de segurança, controle e monitoramento utilizando suas três saídas redundantes para a Internet.</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2.2 A necessidade da contratação decorre de exigência legal?</w:t>
      </w:r>
    </w:p>
    <w:p>
      <w:pPr>
        <w:spacing w:before="0" w:after="120" w:line="264" w:lineRule="auto"/>
        <w:jc w:val="left"/>
        <w:rPr>
          <w:sz w:val="22"/>
          <w:szCs w:val="22"/>
        </w:rPr>
      </w:pPr>
      <w:r>
        <w:rPr>
          <w:rFonts w:ascii="calibri" w:eastAsia="calibri" w:hAnsi="calibri" w:cs="calibri"/>
          <w:sz w:val="22"/>
          <w:szCs w:val="22"/>
        </w:rPr>
        <w:t>Não há exigência legal para contratação específica de MPLS. A necessidade baseia-se na obrigação administrativa de assegurar continuidade, disponibilidade, segurança e desempenho dos serviços de TIC que apoiam as atividades judiciais e administrativas.</w:t>
      </w:r>
    </w:p>
    <w:p>
      <w:pPr>
        <w:spacing w:before="0" w:after="120" w:line="264" w:lineRule="auto"/>
        <w:jc w:val="left"/>
        <w:rPr>
          <w:sz w:val="22"/>
          <w:szCs w:val="22"/>
        </w:rPr>
      </w:pPr>
      <w:r>
        <w:rPr>
          <w:rFonts w:ascii="calibri" w:eastAsia="calibri" w:hAnsi="calibri" w:cs="calibri"/>
          <w:sz w:val="22"/>
          <w:szCs w:val="22"/>
        </w:rPr>
        <w:t>A demanda relaciona-se à Lei nº 14.133/2021, especialmente quanto ao planejamento da contratação, ao ETP e ao Termo de Referência, e à ENTIC-JUD 2021-2026, instituída pela Resolução CNJ nº 370/2021, que orienta a governança de TIC do Poder Judiciário e a disponibilidade de serviços digitais. Documentos anteriores também citam a diretriz de prover enlaces suficientes entre as unidades e o órgão, bem como enlaces de comunicação com a Internet, preferencialmente de provedores distintos.</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2.3 Quais unidades serão beneficiadas?</w:t>
      </w:r>
    </w:p>
    <w:p>
      <w:pPr>
        <w:spacing w:before="0" w:after="120" w:line="264" w:lineRule="auto"/>
        <w:jc w:val="left"/>
        <w:rPr>
          <w:sz w:val="22"/>
          <w:szCs w:val="22"/>
        </w:rPr>
      </w:pPr>
      <w:r>
        <w:rPr>
          <w:rFonts w:ascii="calibri" w:eastAsia="calibri" w:hAnsi="calibri" w:cs="calibri"/>
          <w:sz w:val="22"/>
          <w:szCs w:val="22"/>
        </w:rPr>
        <w:t>Serão beneficiadas todas as unidades do TRT10 atendidas pela rede institucional:</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479"/>
        <w:gridCol w:w="1453"/>
        <w:gridCol w:w="1405"/>
        <w:gridCol w:w="1914"/>
        <w:gridCol w:w="1425"/>
        <w:gridCol w:w="165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Item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Unidade / Localidade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Endereço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Município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UF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CEP</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Edifício Sede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SAS Quadra 1, Bloco D, Praça dos Tribunais Superiores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Brasília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70.097-900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SEPN 513, Bloco B, Lotes 2/3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Brasília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70.760-522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Taguatinga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Quadra C12, Bloco O, Lotes 1 a 5 e 8 a 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Taguatinga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72.010-120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do Gama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Área Especial 01, Praça 02, Lote 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72.405-610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Araguaína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Av. Neief Murad, 1131, Jardim Goiás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Araguaina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77.824-022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Palmas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Quadra 302 Norte, Conjunto QI 12, Alameda 2, Lote 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Palmas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77.066-338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Gurupi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Rua Antônio Lisboa da Cruz, 2031, Centro, Setor Central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Gurupi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77.405-100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Dianópolis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Avenida Wolney Filho, Qd. 69 A, Setor Novo Horizonte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Dianopolis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77.300-000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Guarai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Avenida Araguaia, esquina com Av. Bernardo Sayão, 1360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Guarai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77.700-000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Prédio de Apoio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SGAN 916 Norte, Lote AI, Asa Norte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Brasília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70.790-160</w:t>
            </w:r>
          </w:p>
        </w:tc>
      </w:tr>
    </w:tbl>
    <w:p>
      <w:pPr>
        <w:spacing w:before="110" w:after="110" w:line="264" w:lineRule="auto"/>
        <w:jc w:val="left"/>
        <w:rPr>
          <w:sz w:val="22"/>
          <w:szCs w:val="22"/>
        </w:rPr>
      </w:pP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2.4 Consequências do não atendimento da demanda</w:t>
      </w:r>
    </w:p>
    <w:p>
      <w:pPr>
        <w:numPr>
          <w:ilvl w:val="0"/>
          <w:numId w:val="2"/>
        </w:numPr>
        <w:spacing w:before="240" w:after="110" w:line="264" w:lineRule="auto"/>
        <w:ind w:left="720" w:hanging="230"/>
        <w:jc w:val="left"/>
        <w:rPr>
          <w:sz w:val="22"/>
          <w:szCs w:val="22"/>
        </w:rPr>
      </w:pPr>
      <w:r>
        <w:rPr>
          <w:rFonts w:ascii="calibri" w:eastAsia="calibri" w:hAnsi="calibri" w:cs="calibri"/>
          <w:sz w:val="22"/>
          <w:szCs w:val="22"/>
        </w:rPr>
        <w:t>Permaneceria a dependência exclusiva da SD-WAN como única camada estruturada de comunicação para a interconectividade corporativa.</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Haveria menor previsibilidade para a transmissão de tráfego crítico em caso de degradação dos enlaces de Internet.</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A concentração das políticas de segurança, monitoramento, filtragem de tráfego e controle na Sede se tornaria mais desafiadora.</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Haveria aumento do risco de indisponibilidade ou degradação do acesso aos sistemas judiciais e administrativos.</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Rotas de contingência, mecanismos de suporte, processos de replicação, sistemas de autenticação e serviços institucionais teriam resiliência reduzida.</w:t>
      </w:r>
    </w:p>
    <w:p>
      <w:pPr>
        <w:numPr>
          <w:ilvl w:val="0"/>
          <w:numId w:val="2"/>
        </w:numPr>
        <w:spacing w:before="110" w:after="110" w:line="264" w:lineRule="auto"/>
        <w:ind w:left="720" w:hanging="230"/>
        <w:jc w:val="left"/>
        <w:rPr>
          <w:sz w:val="22"/>
          <w:szCs w:val="22"/>
        </w:rPr>
      </w:pPr>
      <w:r>
        <w:rPr>
          <w:rFonts w:ascii="calibri" w:eastAsia="calibri" w:hAnsi="calibri" w:cs="calibri"/>
          <w:sz w:val="22"/>
          <w:szCs w:val="22"/>
        </w:rPr>
        <w:t>Desafios significativos dificultariam a evolução para uma arquitetura que priorize o acesso centralizado à Internet pela Sede, com pleno aproveitamento das três saídas redundantes e adequada manutenção da separação lógica entre tráfego crítico e tráfego de Internet.</w:t>
      </w:r>
    </w:p>
    <w:p>
      <w:pPr>
        <w:numPr>
          <w:ilvl w:val="0"/>
          <w:numId w:val="2"/>
        </w:numPr>
        <w:spacing w:before="110" w:after="240" w:line="264" w:lineRule="auto"/>
        <w:ind w:left="720" w:hanging="230"/>
        <w:jc w:val="left"/>
        <w:rPr>
          <w:sz w:val="22"/>
          <w:szCs w:val="22"/>
        </w:rPr>
      </w:pPr>
      <w:r>
        <w:rPr>
          <w:rFonts w:ascii="calibri" w:eastAsia="calibri" w:hAnsi="calibri" w:cs="calibri"/>
          <w:sz w:val="22"/>
          <w:szCs w:val="22"/>
        </w:rPr>
        <w:t>Haveria aumento do risco de não conformidade com diretrizes de governança de TIC relativas à disponibilidade, capacidade, segurança e continuidade dos serviços.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3. Breve Descrição do Objeto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3.1 Objeto da Contratação</w:t>
      </w:r>
    </w:p>
    <w:p>
      <w:pPr>
        <w:spacing w:before="0" w:after="120" w:line="264" w:lineRule="auto"/>
        <w:jc w:val="left"/>
        <w:rPr>
          <w:sz w:val="22"/>
          <w:szCs w:val="22"/>
        </w:rPr>
      </w:pPr>
      <w:r>
        <w:rPr>
          <w:rFonts w:ascii="calibri" w:eastAsia="calibri" w:hAnsi="calibri" w:cs="calibri"/>
          <w:sz w:val="22"/>
          <w:szCs w:val="22"/>
        </w:rPr>
        <w:t>O escopo consiste na contratação de empresa especializada para prestar serviços contínuos de comunicação de dados por meio de rede MPLS, abrangendo o fornecimento, a instalação e a configuração dos equipamentos necessários, soluções de monitoramento, suporte técnico, manutenção e garantias de níveis de serviço estipuladas, com o objetivo de interconectar as unidades do TRT10 à Sede e assegurar integração transparente com a SD-WAN existente.</w:t>
      </w:r>
    </w:p>
    <w:p>
      <w:pPr>
        <w:spacing w:before="0" w:after="120" w:line="264" w:lineRule="auto"/>
        <w:jc w:val="left"/>
        <w:rPr>
          <w:sz w:val="22"/>
          <w:szCs w:val="22"/>
        </w:rPr>
      </w:pPr>
      <w:r>
        <w:rPr>
          <w:rFonts w:ascii="calibri" w:eastAsia="calibri" w:hAnsi="calibri" w:cs="calibri"/>
          <w:sz w:val="22"/>
          <w:szCs w:val="22"/>
        </w:rPr>
        <w:t>A contratação deverá:</w:t>
      </w:r>
    </w:p>
    <w:p>
      <w:pPr>
        <w:numPr>
          <w:ilvl w:val="0"/>
          <w:numId w:val="3"/>
        </w:numPr>
        <w:spacing w:before="240" w:after="110" w:line="264" w:lineRule="auto"/>
        <w:ind w:left="720" w:hanging="230"/>
        <w:jc w:val="left"/>
        <w:rPr>
          <w:sz w:val="22"/>
          <w:szCs w:val="22"/>
        </w:rPr>
      </w:pPr>
      <w:r>
        <w:rPr>
          <w:rFonts w:ascii="calibri" w:eastAsia="calibri" w:hAnsi="calibri" w:cs="calibri"/>
          <w:sz w:val="22"/>
          <w:szCs w:val="22"/>
        </w:rPr>
        <w:t>interconectar todas as demais localidades à Sede por meio de MPLS;</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manter compatibilidade com a topologia SD-WAN existente;</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permitir o uso preferencial da MPLS para tráfego crítico e da SD-WAN para tráfego de Internet;</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permitir contingência cruzada, de modo que a MPLS e a SD-WAN possam transportar tráfego crítico ou de Internet em caso de indisponibilidade ou degradação de uma das camadas;</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permitir roteamento controlado para saída preferencial à Internet pela Sede;</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integrar-se à JT, à Infovia e a outras redes institucionais, conforme definição técnica do TRT10;</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viabilizar QoS, segregação lógica e priorização do tráfego crítico;</w:t>
      </w:r>
    </w:p>
    <w:p>
      <w:pPr>
        <w:numPr>
          <w:ilvl w:val="0"/>
          <w:numId w:val="3"/>
        </w:numPr>
        <w:spacing w:before="110" w:after="110" w:line="264" w:lineRule="auto"/>
        <w:ind w:left="720" w:hanging="230"/>
        <w:jc w:val="left"/>
        <w:rPr>
          <w:sz w:val="22"/>
          <w:szCs w:val="22"/>
        </w:rPr>
      </w:pPr>
      <w:r>
        <w:rPr>
          <w:rFonts w:ascii="calibri" w:eastAsia="calibri" w:hAnsi="calibri" w:cs="calibri"/>
          <w:sz w:val="22"/>
          <w:szCs w:val="22"/>
        </w:rPr>
        <w:t>incluir suporte, monitoramento e relatórios mensais de disponibilidade;</w:t>
      </w:r>
    </w:p>
    <w:p>
      <w:pPr>
        <w:numPr>
          <w:ilvl w:val="0"/>
          <w:numId w:val="3"/>
        </w:numPr>
        <w:spacing w:before="110" w:after="240" w:line="264" w:lineRule="auto"/>
        <w:ind w:left="720" w:hanging="230"/>
        <w:jc w:val="left"/>
        <w:rPr>
          <w:sz w:val="22"/>
          <w:szCs w:val="22"/>
        </w:rPr>
      </w:pPr>
      <w:r>
        <w:rPr>
          <w:rFonts w:ascii="calibri" w:eastAsia="calibri" w:hAnsi="calibri" w:cs="calibri"/>
          <w:sz w:val="22"/>
          <w:szCs w:val="22"/>
        </w:rPr>
        <w:t>evitar especificação por marca, fabricante ou modelo, exceto quando indispensável e tecnicamente justificada em etapa posterior.</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4. Quantidade a Ser Contratada</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4.1 Quantidade Estimada por Ano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279"/>
        <w:gridCol w:w="1453"/>
        <w:gridCol w:w="1725"/>
        <w:gridCol w:w="1687"/>
        <w:gridCol w:w="1691"/>
        <w:gridCol w:w="149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Item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Localidade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Capacidade SD-WAN atual recuperada dos documentos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Capacidade MPLS proposta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Quantidade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Unidade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Edifício Sede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Brasilia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Prédio de Apoio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Taguatinga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Palmas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do Gama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Foro de Araguaína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Gurupi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Dianópolis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Vara de Guarai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mês</w:t>
            </w:r>
          </w:p>
        </w:tc>
      </w:tr>
    </w:tbl>
    <w:p>
      <w:pPr>
        <w:spacing w:before="110" w:after="110" w:line="264" w:lineRule="auto"/>
        <w:jc w:val="left"/>
        <w:rPr>
          <w:sz w:val="22"/>
          <w:szCs w:val="22"/>
        </w:rPr>
      </w:pPr>
    </w:p>
    <w:p>
      <w:pPr>
        <w:spacing w:before="0" w:after="120" w:line="264" w:lineRule="auto"/>
        <w:jc w:val="left"/>
        <w:rPr>
          <w:sz w:val="22"/>
          <w:szCs w:val="22"/>
        </w:rPr>
      </w:pPr>
      <w:r>
        <w:rPr>
          <w:rFonts w:ascii="calibri" w:eastAsia="calibri" w:hAnsi="calibri" w:cs="calibri"/>
          <w:sz w:val="22"/>
          <w:szCs w:val="22"/>
        </w:rPr>
        <w:t>As capacidades MPLS propostas constituem hipótese técnica inicial para fins de planejamento e deverão ser validadas por meio de análise de tráfego, criticidade dos sistemas, simultaneidade, QoS, crescimento esperado, desempenho atual da SD-WAN e pesquisa de mercado.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4.2 A estimativa baseia-se em demanda histórica?</w:t>
      </w:r>
    </w:p>
    <w:p>
      <w:pPr>
        <w:spacing w:before="0" w:after="120" w:line="264" w:lineRule="auto"/>
        <w:jc w:val="left"/>
        <w:rPr>
          <w:sz w:val="22"/>
          <w:szCs w:val="22"/>
        </w:rPr>
      </w:pPr>
      <w:r>
        <w:rPr>
          <w:rFonts w:ascii="calibri" w:eastAsia="calibri" w:hAnsi="calibri" w:cs="calibri"/>
          <w:sz w:val="22"/>
          <w:szCs w:val="22"/>
        </w:rPr>
        <w:t>Sim. A estimativa considera o histórico de contratações de comunicação de dados do TRT10, especialmente:</w:t>
      </w:r>
    </w:p>
    <w:p>
      <w:pPr>
        <w:numPr>
          <w:ilvl w:val="0"/>
          <w:numId w:val="4"/>
        </w:numPr>
        <w:spacing w:before="240" w:after="110" w:line="264" w:lineRule="auto"/>
        <w:ind w:left="720" w:hanging="230"/>
        <w:jc w:val="left"/>
        <w:rPr>
          <w:sz w:val="22"/>
          <w:szCs w:val="22"/>
        </w:rPr>
      </w:pPr>
      <w:r>
        <w:rPr>
          <w:rFonts w:ascii="calibri" w:eastAsia="calibri" w:hAnsi="calibri" w:cs="calibri"/>
          <w:sz w:val="22"/>
          <w:szCs w:val="22"/>
        </w:rPr>
        <w:t>Contrato 131/2023, referente a Link IP dedicado com SD-WAN para 10 localidades, com prazo inicial de 5 anos e possibilidade de prorrogação;</w:t>
      </w:r>
    </w:p>
    <w:p>
      <w:pPr>
        <w:numPr>
          <w:ilvl w:val="0"/>
          <w:numId w:val="4"/>
        </w:numPr>
        <w:spacing w:before="110" w:after="110" w:line="264" w:lineRule="auto"/>
        <w:ind w:left="720" w:hanging="230"/>
        <w:jc w:val="left"/>
        <w:rPr>
          <w:sz w:val="22"/>
          <w:szCs w:val="22"/>
        </w:rPr>
      </w:pPr>
      <w:r>
        <w:rPr>
          <w:rFonts w:ascii="calibri" w:eastAsia="calibri" w:hAnsi="calibri" w:cs="calibri"/>
          <w:sz w:val="22"/>
          <w:szCs w:val="22"/>
        </w:rPr>
        <w:t>contratos anteriores de Internet com Anti-DDoS para a Sede, o Foro de Brasília e o Prédio de Apoio;</w:t>
      </w:r>
    </w:p>
    <w:p>
      <w:pPr>
        <w:numPr>
          <w:ilvl w:val="0"/>
          <w:numId w:val="4"/>
        </w:numPr>
        <w:spacing w:before="110" w:after="110" w:line="264" w:lineRule="auto"/>
        <w:ind w:left="720" w:hanging="230"/>
        <w:jc w:val="left"/>
        <w:rPr>
          <w:sz w:val="22"/>
          <w:szCs w:val="22"/>
        </w:rPr>
      </w:pPr>
      <w:r>
        <w:rPr>
          <w:rFonts w:ascii="calibri" w:eastAsia="calibri" w:hAnsi="calibri" w:cs="calibri"/>
          <w:sz w:val="22"/>
          <w:szCs w:val="22"/>
        </w:rPr>
        <w:t>contratações anteriores de enlaces de Internet para as unidades do Tocantins;</w:t>
      </w:r>
    </w:p>
    <w:p>
      <w:pPr>
        <w:numPr>
          <w:ilvl w:val="0"/>
          <w:numId w:val="4"/>
        </w:numPr>
        <w:spacing w:before="110" w:after="240" w:line="264" w:lineRule="auto"/>
        <w:ind w:left="720" w:hanging="230"/>
        <w:jc w:val="left"/>
        <w:rPr>
          <w:sz w:val="22"/>
          <w:szCs w:val="22"/>
        </w:rPr>
      </w:pPr>
      <w:r>
        <w:rPr>
          <w:rFonts w:ascii="calibri" w:eastAsia="calibri" w:hAnsi="calibri" w:cs="calibri"/>
          <w:sz w:val="22"/>
          <w:szCs w:val="22"/>
        </w:rPr>
        <w:t>menções documentais à conectividade MPLS e Infovia como meios de redundância e interconexão com a Sede.</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5. Estimativa Preliminar do Valor da Contratação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5.1 Valor estimado da contratação</w:t>
      </w:r>
    </w:p>
    <w:p>
      <w:pPr>
        <w:spacing w:before="0" w:after="120" w:line="264" w:lineRule="auto"/>
        <w:jc w:val="left"/>
        <w:rPr>
          <w:sz w:val="22"/>
          <w:szCs w:val="22"/>
        </w:rPr>
      </w:pPr>
      <w:r>
        <w:rPr>
          <w:rFonts w:ascii="calibri" w:eastAsia="calibri" w:hAnsi="calibri" w:cs="calibri"/>
          <w:sz w:val="22"/>
          <w:szCs w:val="22"/>
        </w:rPr>
        <w:t>O valor oficial deverá ser apurado pela área competente mediante pesquisa formal de preços. Como esta minuta não incorpora pesquisa de mercado atual, não é apresentada estimativa definitiva de valor.</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5.2 Como o valor preliminar foi determinado?</w:t>
      </w:r>
    </w:p>
    <w:p>
      <w:pPr>
        <w:spacing w:before="0" w:after="120" w:line="264" w:lineRule="auto"/>
        <w:jc w:val="left"/>
        <w:rPr>
          <w:sz w:val="22"/>
          <w:szCs w:val="22"/>
        </w:rPr>
      </w:pPr>
      <w:r>
        <w:rPr>
          <w:rFonts w:ascii="calibri" w:eastAsia="calibri" w:hAnsi="calibri" w:cs="calibri"/>
          <w:sz w:val="22"/>
          <w:szCs w:val="22"/>
        </w:rPr>
        <w:t>Como referência inicial, documentos anteriores registram valores históricos de contratos de comunicação de dados e Internet, porém tais valores não devem ser utilizados diretamente no orçamento atual sem atualização metodológica, comparação de escopo, pesquisa de mercado e consideração das diferenças entre Internet dedicada, SD-WAN e MPLS.</w:t>
      </w:r>
    </w:p>
    <w:p>
      <w:pPr>
        <w:spacing w:before="0" w:after="120" w:line="264" w:lineRule="auto"/>
        <w:jc w:val="left"/>
        <w:rPr>
          <w:sz w:val="22"/>
          <w:szCs w:val="22"/>
        </w:rPr>
      </w:pPr>
      <w:r>
        <w:rPr>
          <w:rFonts w:ascii="calibri" w:eastAsia="calibri" w:hAnsi="calibri" w:cs="calibri"/>
          <w:sz w:val="22"/>
          <w:szCs w:val="22"/>
        </w:rPr>
        <w:t>A pesquisa deverá observar, no mínimo:</w:t>
      </w:r>
    </w:p>
    <w:p>
      <w:pPr>
        <w:numPr>
          <w:ilvl w:val="0"/>
          <w:numId w:val="5"/>
        </w:numPr>
        <w:spacing w:before="240" w:after="110" w:line="264" w:lineRule="auto"/>
        <w:ind w:left="720" w:hanging="230"/>
        <w:jc w:val="left"/>
        <w:rPr>
          <w:sz w:val="22"/>
          <w:szCs w:val="22"/>
        </w:rPr>
      </w:pPr>
      <w:r>
        <w:rPr>
          <w:rFonts w:ascii="calibri" w:eastAsia="calibri" w:hAnsi="calibri" w:cs="calibri"/>
          <w:sz w:val="22"/>
          <w:szCs w:val="22"/>
        </w:rPr>
        <w:t>preços públicos de serviços MPLS ou de redes privadas corporativas similares;</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capacidades por localidade;</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custos de instalação, equipamentos e ativação;</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prazo contratual pretendido;</w:t>
      </w:r>
    </w:p>
    <w:p>
      <w:pPr>
        <w:numPr>
          <w:ilvl w:val="0"/>
          <w:numId w:val="5"/>
        </w:numPr>
        <w:spacing w:before="110" w:after="110" w:line="264" w:lineRule="auto"/>
        <w:ind w:left="720" w:hanging="230"/>
        <w:jc w:val="left"/>
        <w:rPr>
          <w:sz w:val="22"/>
          <w:szCs w:val="22"/>
        </w:rPr>
      </w:pPr>
      <w:r>
        <w:rPr>
          <w:rFonts w:ascii="calibri" w:eastAsia="calibri" w:hAnsi="calibri" w:cs="calibri"/>
          <w:sz w:val="22"/>
          <w:szCs w:val="22"/>
        </w:rPr>
        <w:t>SLA exigido;</w:t>
      </w:r>
    </w:p>
    <w:p>
      <w:pPr>
        <w:numPr>
          <w:ilvl w:val="0"/>
          <w:numId w:val="5"/>
        </w:numPr>
        <w:spacing w:before="110" w:after="240" w:line="264" w:lineRule="auto"/>
        <w:ind w:left="720" w:hanging="230"/>
        <w:jc w:val="left"/>
        <w:rPr>
          <w:sz w:val="22"/>
          <w:szCs w:val="22"/>
        </w:rPr>
      </w:pPr>
      <w:r>
        <w:rPr>
          <w:rFonts w:ascii="calibri" w:eastAsia="calibri" w:hAnsi="calibri" w:cs="calibri"/>
          <w:sz w:val="22"/>
          <w:szCs w:val="22"/>
        </w:rPr>
        <w:t>possível necessidade de rotas físicas distintas, QoS, VRF, BGP/OSPF ou monitoramento.</w:t>
      </w:r>
    </w:p>
    <w:p>
      <w:pPr>
        <w:spacing w:before="0" w:after="120" w:line="264" w:lineRule="auto"/>
        <w:jc w:val="left"/>
        <w:rPr>
          <w:sz w:val="22"/>
          <w:szCs w:val="22"/>
        </w:rPr>
      </w:pPr>
      <w:r>
        <w:rPr>
          <w:rFonts w:ascii="calibri" w:eastAsia="calibri" w:hAnsi="calibri" w:cs="calibri"/>
          <w:sz w:val="22"/>
          <w:szCs w:val="22"/>
        </w:rPr>
        <w:t>Até que haja pesquisa formal, a estimativa de valor deverá permanecer como pendência de planejamento, sem prejuízo da continuidade da estruturação técnica do DFD, do ETP e do TR.</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5.3 Contratações similares a serem detalhadas na pesquisa</w:t>
      </w:r>
    </w:p>
    <w:p>
      <w:pPr>
        <w:spacing w:before="0" w:after="120" w:line="264" w:lineRule="auto"/>
        <w:jc w:val="left"/>
        <w:rPr>
          <w:sz w:val="22"/>
          <w:szCs w:val="22"/>
        </w:rPr>
      </w:pPr>
      <w:r>
        <w:rPr>
          <w:rFonts w:ascii="calibri" w:eastAsia="calibri" w:hAnsi="calibri" w:cs="calibri"/>
          <w:sz w:val="22"/>
          <w:szCs w:val="22"/>
        </w:rPr>
        <w:t>Para subsidiar o ETP, o TR, a pesquisa de preços, a definição de SLA e a validação das especificações técnicas, devem ser priorizadas as contratações com maior similaridade em relação à arquitetura pretendida pelo TRT10. A similaridade deve considerar: uso de MPLS, L3VPN, L2L ou rede privada corporativa; interconexão de múltiplas unidades a um ponto concentrador; fibra óptica; CPE ou roteador incluído; monitoramento; suporte; disponibilidade; e capacidades próximas de 50 Mbps, 100 Mbps, 200 Mbps, 500 Mbps e 1 Gbps.</w:t>
      </w:r>
    </w:p>
    <w:p>
      <w:pPr>
        <w:spacing w:before="0" w:after="120" w:line="264" w:lineRule="auto"/>
        <w:jc w:val="left"/>
        <w:rPr>
          <w:sz w:val="22"/>
          <w:szCs w:val="22"/>
        </w:rPr>
      </w:pPr>
      <w:r>
        <w:rPr>
          <w:rFonts w:ascii="calibri" w:eastAsia="calibri" w:hAnsi="calibri" w:cs="calibri"/>
          <w:sz w:val="22"/>
          <w:szCs w:val="22"/>
        </w:rPr>
        <w:t>Como referências principais, recomenda-se detalhar:</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2782"/>
        <w:gridCol w:w="1982"/>
        <w:gridCol w:w="222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Prioridade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Contratação/produto similar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Motivo da similaridade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line="264" w:lineRule="auto"/>
              <w:jc w:val="left"/>
              <w:rPr>
                <w:b w:val="0"/>
                <w:bCs w:val="0"/>
                <w:i w:val="0"/>
                <w:iCs w:val="0"/>
                <w:smallCaps w:val="0"/>
                <w:color w:val="000000"/>
                <w:sz w:val="18"/>
                <w:szCs w:val="18"/>
              </w:rPr>
            </w:pPr>
            <w:r>
              <w:rPr>
                <w:b/>
                <w:bCs/>
                <w:i w:val="0"/>
                <w:iCs w:val="0"/>
                <w:smallCaps w:val="0"/>
                <w:color w:val="01426A"/>
                <w:sz w:val="18"/>
                <w:szCs w:val="18"/>
                <w:shd w:val="clear" w:color="auto" w:fill="E8EEF5"/>
              </w:rPr>
              <w:t>Informações a buscar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Solução de Rede Privada Virtual MPLS sobre Fibra Óptica para interligação de 45 pontos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Rede privada, múltiplos pontos, fibra óptica e interligação institucional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 ETP, SLA, matriz de riscos, preços por ponto, CPE, concentrador e monitoramento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Redes Privadas LAN-to-LAN ou MPLS entre Data Center Municipal e unidades remotas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Topologia semelhante a hub-and-spoke, com concentrador e unidades remotas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Arquitetura, aceite, disponibilidade, roteamento, suporte e valores mensais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Serviço de Link de Comunicação Multimídia Concentrador L3VPN/MPLS, 3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Comparável ao papel da Sede como concentrador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Requisitos do concentrador, SLA, QoS, roteamento, suporte e preço do link central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Serviços de Link de Comunicação Multimídia L3VPN/MPLS de 100 Mbps, 200 Mbps e 400 Mbps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Comparável aos circuitos das unidades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Preço mensal por capacidade, instalação, CPE, SLA e prazo de reparo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Circuitos MPLS ópticos com roteador, simples e duplos, em 50 Mbps, 100 Mbps, 200 Mbps, 500 Mbps e 1 Gbps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Aderente às capacidades propostas e à exigência de equipamento gerenciado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Diferença de preço entre circuito simples e duplo, instalação, roteador e disponibilidade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Serviço de acesso link de dados com tecnologia MPLS Capital/Interior, 50 Mbps a 1 Gbps, por 60 meses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Permite comparar capital/interior, prazo e velocidades próximas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Planilha de itens, valores unitários, vigência, reajuste, SLA e suporte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Rede MPLS ou superior / SD-WAN Interior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Alta aderência por envolver MPLS e SD-WAN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Justificativa da arquitetura híbrida, failover, roteamento, SLA e preços</w:t>
            </w:r>
          </w:p>
        </w:tc>
      </w:tr>
    </w:tbl>
    <w:p>
      <w:pPr>
        <w:spacing w:before="110" w:after="110" w:line="264" w:lineRule="auto"/>
        <w:jc w:val="left"/>
        <w:rPr>
          <w:sz w:val="22"/>
          <w:szCs w:val="22"/>
        </w:rPr>
      </w:pPr>
    </w:p>
    <w:p>
      <w:pPr>
        <w:spacing w:before="0" w:after="120" w:line="264" w:lineRule="auto"/>
        <w:jc w:val="left"/>
        <w:rPr>
          <w:sz w:val="22"/>
          <w:szCs w:val="22"/>
        </w:rPr>
      </w:pPr>
      <w:r>
        <w:rPr>
          <w:rFonts w:ascii="calibri" w:eastAsia="calibri" w:hAnsi="calibri" w:cs="calibri"/>
          <w:sz w:val="22"/>
          <w:szCs w:val="22"/>
        </w:rPr>
        <w:t>Como referências secundárias, podem ser analisadas contratações de transporte IP com fibra óptica, suporte a tunelamento, VLANs, TCP/IP e roteamento MPLS; redes IP multisserviços com operação, manutenção e monitoramento; serviços MPLS/L2L; links dedicados com MPLS ou EAPS; e abordagem dual. Essas referências são úteis para requisitos técnicos e de disponibilidade, mas devem ser avaliadas com cautela quando não houver rede privada corporativa completa ou quando o objeto principal for apenas Internet.</w:t>
      </w:r>
    </w:p>
    <w:p>
      <w:pPr>
        <w:spacing w:before="0" w:after="120" w:line="264" w:lineRule="auto"/>
        <w:jc w:val="left"/>
        <w:rPr>
          <w:sz w:val="22"/>
          <w:szCs w:val="22"/>
        </w:rPr>
      </w:pPr>
      <w:r>
        <w:rPr>
          <w:rFonts w:ascii="calibri" w:eastAsia="calibri" w:hAnsi="calibri" w:cs="calibri"/>
          <w:sz w:val="22"/>
          <w:szCs w:val="22"/>
        </w:rPr>
        <w:t>Para a comparação das alternativas do ETP, devem ser buscadas referências de enlaces satelitais e de links comuns de Internet com VPN ponto a ponto. Essas referências servirão para justificar a rejeição ou classificação secundária das Soluções 2 e 3, especialmente quanto a latência, previsibilidade, SLA, superfície de exposição, custo operacional e aderência ao tráfego crítico.</w:t>
      </w:r>
    </w:p>
    <w:p>
      <w:pPr>
        <w:spacing w:before="0" w:after="120" w:line="264" w:lineRule="auto"/>
        <w:jc w:val="left"/>
        <w:rPr>
          <w:sz w:val="22"/>
          <w:szCs w:val="22"/>
        </w:rPr>
      </w:pPr>
      <w:r>
        <w:rPr>
          <w:rFonts w:ascii="calibri" w:eastAsia="calibri" w:hAnsi="calibri" w:cs="calibri"/>
          <w:sz w:val="22"/>
          <w:szCs w:val="22"/>
        </w:rPr>
        <w:t>Itens como aquisição de switches, roteadores avulsos, telefonia IP, servidor web, integração de sistemas, instalação de rede local, fusão de fibra ou manutenção de equipamentos não devem ser utilizados como referência principal de preços para esta contratação, pois tais objetos não representam serviço contínuo de rede privada corporativa interconectando unidades à Sede.</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6. Data Pretendida para Conclusão da Contratação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6.1 Data de início da vigência</w:t>
      </w:r>
    </w:p>
    <w:p>
      <w:pPr>
        <w:spacing w:before="0" w:after="120" w:line="264" w:lineRule="auto"/>
        <w:jc w:val="left"/>
        <w:rPr>
          <w:sz w:val="22"/>
          <w:szCs w:val="22"/>
        </w:rPr>
      </w:pPr>
      <w:r>
        <w:rPr>
          <w:rFonts w:ascii="calibri" w:eastAsia="calibri" w:hAnsi="calibri" w:cs="calibri"/>
          <w:sz w:val="22"/>
          <w:szCs w:val="22"/>
        </w:rPr>
        <w:t>Sugere-se que o novo contrato esteja vigente antes de qualquer marco de encerramento ou degradação dos contratos relacionados que sustentam a conectividade das unidades, observando-se o prazo mínimo necessário para a tramitação dos artefatos de planejamento.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6.2 Trata-se de serviço contínuo?</w:t>
      </w:r>
    </w:p>
    <w:p>
      <w:pPr>
        <w:spacing w:before="0" w:after="120" w:line="264" w:lineRule="auto"/>
        <w:jc w:val="left"/>
        <w:rPr>
          <w:sz w:val="22"/>
          <w:szCs w:val="22"/>
        </w:rPr>
      </w:pPr>
      <w:r>
        <w:rPr>
          <w:rFonts w:ascii="calibri" w:eastAsia="calibri" w:hAnsi="calibri" w:cs="calibri"/>
          <w:sz w:val="22"/>
          <w:szCs w:val="22"/>
        </w:rPr>
        <w:t>Sim. Trata-se de serviço contínuo de comunicação de dados, essencial para a operação permanente das unidades do TRT10.</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7. Grau de Prioridade da Contratação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7.1 Tabela para identificação do grau de prioridade</w:t>
      </w:r>
    </w:p>
    <w:p>
      <w:pPr>
        <w:spacing w:before="110" w:after="110" w:line="264" w:lineRule="auto"/>
        <w:jc w:val="left"/>
        <w:rPr>
          <w:sz w:val="22"/>
          <w:szCs w:val="22"/>
        </w:rPr>
      </w:pPr>
      <w:r>
        <w:rPr>
          <w:sz w:val="22"/>
          <w:szCs w:val="22"/>
        </w:rPr>
        <w:t>Critério | Marcação sugerida | Justificativa</w:t>
      </w:r>
    </w:p>
    <w:p>
      <w:pPr>
        <w:spacing w:before="120" w:after="120"/>
        <w:jc w:val="left"/>
      </w:pPr>
      <w:r>
        <w:t>--- | --- | ---</w:t>
      </w:r>
    </w:p>
    <w:p>
      <w:pPr>
        <w:spacing w:before="120" w:after="120"/>
        <w:jc w:val="left"/>
      </w:pPr>
      <w:r>
        <w:t>Impacto se não atendida | Severo | Pode afetar a disponibilidade, o desempenho, a contingência e a segurança da comunicação institucional.</w:t>
      </w:r>
    </w:p>
    <w:p>
      <w:pPr>
        <w:spacing w:before="120" w:after="120"/>
        <w:jc w:val="left"/>
      </w:pPr>
      <w:r>
        <w:t>Urgência | Não urgente, mas precisa ser realizada o quanto antes | São necessários planejamento, pesquisa de preços, implantação e operação assistida, evitando-se quebra de continuidade.</w:t>
      </w:r>
    </w:p>
    <w:p>
      <w:pPr>
        <w:spacing w:before="120" w:after="120"/>
        <w:jc w:val="left"/>
      </w:pPr>
      <w:r>
        <w:t>Tendência do problema | Irá piorar | A demanda por tráfego corporativo, segurança centralizada e continuidade tende a crescer.</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8. Vinculação ou Dependência com Outra Demanda</w:t>
      </w:r>
    </w:p>
    <w:p>
      <w:pPr>
        <w:spacing w:before="0" w:after="120" w:line="264" w:lineRule="auto"/>
        <w:jc w:val="left"/>
        <w:rPr>
          <w:sz w:val="22"/>
          <w:szCs w:val="22"/>
        </w:rPr>
      </w:pPr>
      <w:r>
        <w:rPr>
          <w:rFonts w:ascii="calibri" w:eastAsia="calibri" w:hAnsi="calibri" w:cs="calibri"/>
          <w:sz w:val="22"/>
          <w:szCs w:val="22"/>
        </w:rPr>
        <w:t>A demanda possui vinculação técnica com:</w:t>
      </w:r>
    </w:p>
    <w:p>
      <w:pPr>
        <w:numPr>
          <w:ilvl w:val="0"/>
          <w:numId w:val="6"/>
        </w:numPr>
        <w:spacing w:before="240" w:after="110" w:line="264" w:lineRule="auto"/>
        <w:ind w:left="720" w:hanging="230"/>
        <w:jc w:val="left"/>
        <w:rPr>
          <w:sz w:val="22"/>
          <w:szCs w:val="22"/>
        </w:rPr>
      </w:pPr>
      <w:r>
        <w:rPr>
          <w:rFonts w:ascii="calibri" w:eastAsia="calibri" w:hAnsi="calibri" w:cs="calibri"/>
          <w:sz w:val="22"/>
          <w:szCs w:val="22"/>
        </w:rPr>
        <w:t>contrato atual de SD-WAN, objeto do processo SEI 0000030-87.2023.5.10.8000;</w:t>
      </w:r>
    </w:p>
    <w:p>
      <w:pPr>
        <w:numPr>
          <w:ilvl w:val="0"/>
          <w:numId w:val="6"/>
        </w:numPr>
        <w:spacing w:before="110" w:after="110" w:line="264" w:lineRule="auto"/>
        <w:ind w:left="720" w:hanging="230"/>
        <w:jc w:val="left"/>
        <w:rPr>
          <w:sz w:val="22"/>
          <w:szCs w:val="22"/>
        </w:rPr>
      </w:pPr>
      <w:r>
        <w:rPr>
          <w:rFonts w:ascii="calibri" w:eastAsia="calibri" w:hAnsi="calibri" w:cs="calibri"/>
          <w:sz w:val="22"/>
          <w:szCs w:val="22"/>
        </w:rPr>
        <w:t>contratos de Internet e Anti-DDoS da Sede e de outras unidades;</w:t>
      </w:r>
    </w:p>
    <w:p>
      <w:pPr>
        <w:numPr>
          <w:ilvl w:val="0"/>
          <w:numId w:val="6"/>
        </w:numPr>
        <w:spacing w:before="110" w:after="110" w:line="264" w:lineRule="auto"/>
        <w:ind w:left="720" w:hanging="230"/>
        <w:jc w:val="left"/>
        <w:rPr>
          <w:sz w:val="22"/>
          <w:szCs w:val="22"/>
        </w:rPr>
      </w:pPr>
      <w:r>
        <w:rPr>
          <w:rFonts w:ascii="calibri" w:eastAsia="calibri" w:hAnsi="calibri" w:cs="calibri"/>
          <w:sz w:val="22"/>
          <w:szCs w:val="22"/>
        </w:rPr>
        <w:t>redes da JT, Infovia e arquitetura de segurança perimetral;</w:t>
      </w:r>
    </w:p>
    <w:p>
      <w:pPr>
        <w:numPr>
          <w:ilvl w:val="0"/>
          <w:numId w:val="6"/>
        </w:numPr>
        <w:spacing w:before="110" w:after="240" w:line="264" w:lineRule="auto"/>
        <w:ind w:left="720" w:hanging="230"/>
        <w:jc w:val="left"/>
        <w:rPr>
          <w:sz w:val="22"/>
          <w:szCs w:val="22"/>
        </w:rPr>
      </w:pPr>
      <w:r>
        <w:rPr>
          <w:rFonts w:ascii="calibri" w:eastAsia="calibri" w:hAnsi="calibri" w:cs="calibri"/>
          <w:sz w:val="22"/>
          <w:szCs w:val="22"/>
        </w:rPr>
        <w:t>projeto de centralização da saída à Internet na Sede, com 3 saídas redundantes.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9. Objetivo Estratégico</w:t>
      </w:r>
    </w:p>
    <w:p>
      <w:pPr>
        <w:spacing w:before="0" w:after="120" w:line="264" w:lineRule="auto"/>
        <w:jc w:val="left"/>
        <w:rPr>
          <w:sz w:val="22"/>
          <w:szCs w:val="22"/>
        </w:rPr>
      </w:pPr>
      <w:r>
        <w:rPr>
          <w:rFonts w:ascii="calibri" w:eastAsia="calibri" w:hAnsi="calibri" w:cs="calibri"/>
          <w:sz w:val="22"/>
          <w:szCs w:val="22"/>
        </w:rPr>
        <w:t>A contratação alinha-se ao objetivo estratégico de aperfeiçoar a Governança de TIC e a proteção de dados, contribuindo para a disponibilidade, continuidade, segurança, monitoramento e desempenho dos serviços digitais do TRT10.</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10. Informações do SIGEO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10.1 Processo administrativo em andamento da contratação</w:t>
      </w:r>
    </w:p>
    <w:p>
      <w:pPr>
        <w:spacing w:before="0" w:after="120" w:line="264" w:lineRule="auto"/>
        <w:jc w:val="left"/>
        <w:rPr>
          <w:sz w:val="22"/>
          <w:szCs w:val="22"/>
        </w:rPr>
      </w:pPr>
      <w:r>
        <w:rPr>
          <w:rFonts w:ascii="calibri" w:eastAsia="calibri" w:hAnsi="calibri" w:cs="calibri"/>
          <w:sz w:val="22"/>
          <w:szCs w:val="22"/>
        </w:rPr>
        <w:t>Processos históricos de referência: SEI 0000030-87.2023.5.10.8000, SEI 0007608-72.2021.5.10.8000 e SEI 0002027-76.2021.5.10.8000.</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10.2 Contrato ou ARP vigente</w:t>
      </w:r>
    </w:p>
    <w:p>
      <w:pPr>
        <w:spacing w:before="0" w:after="120" w:line="264" w:lineRule="auto"/>
        <w:jc w:val="left"/>
        <w:rPr>
          <w:sz w:val="22"/>
          <w:szCs w:val="22"/>
        </w:rPr>
      </w:pPr>
      <w:r>
        <w:rPr>
          <w:rFonts w:ascii="calibri" w:eastAsia="calibri" w:hAnsi="calibri" w:cs="calibri"/>
          <w:sz w:val="22"/>
          <w:szCs w:val="22"/>
        </w:rPr>
        <w:t>Contrato 131/2023 relacionado a Link IP dedicado com SD-WAN. Contratos anteriores de Internet/Anti-DDoS e enlaces das unidades devem ser verificados pela área de contratos para atualização da vigência e do número no SIGEO.</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10.3 Item SIGEO</w:t>
      </w:r>
    </w:p>
    <w:p>
      <w:pPr>
        <w:spacing w:before="0" w:after="120" w:line="264" w:lineRule="auto"/>
        <w:jc w:val="left"/>
        <w:rPr>
          <w:sz w:val="22"/>
          <w:szCs w:val="22"/>
        </w:rPr>
      </w:pPr>
      <w:r>
        <w:rPr>
          <w:rFonts w:ascii="calibri" w:eastAsia="calibri" w:hAnsi="calibri" w:cs="calibri"/>
          <w:sz w:val="22"/>
          <w:szCs w:val="22"/>
        </w:rPr>
        <w:t>A ser informado pela área competente.</w:t>
      </w:r>
    </w:p>
    <w:p>
      <w:pPr>
        <w:pStyle w:val="Heading2"/>
        <w:keepLines w:val="0"/>
        <w:spacing w:before="240" w:after="120" w:line="264" w:lineRule="auto"/>
        <w:jc w:val="left"/>
        <w:rPr>
          <w:b/>
          <w:bCs/>
          <w:sz w:val="26"/>
          <w:szCs w:val="26"/>
        </w:rPr>
      </w:pPr>
      <w:r>
        <w:rPr>
          <w:rFonts w:ascii="calibri" w:eastAsia="calibri" w:hAnsi="calibri" w:cs="calibri"/>
          <w:b w:val="0"/>
          <w:bCs w:val="0"/>
          <w:i w:val="0"/>
          <w:color w:val="0067A0"/>
          <w:sz w:val="26"/>
          <w:szCs w:val="26"/>
        </w:rPr>
        <w:t>10.4 Estimativa de 12 meses no SIGEO</w:t>
      </w:r>
    </w:p>
    <w:p>
      <w:pPr>
        <w:spacing w:before="0" w:after="120" w:line="264" w:lineRule="auto"/>
        <w:jc w:val="left"/>
        <w:rPr>
          <w:sz w:val="22"/>
          <w:szCs w:val="22"/>
        </w:rPr>
      </w:pPr>
      <w:r>
        <w:rPr>
          <w:rFonts w:ascii="calibri" w:eastAsia="calibri" w:hAnsi="calibri" w:cs="calibri"/>
          <w:sz w:val="22"/>
          <w:szCs w:val="22"/>
        </w:rPr>
        <w:t>A ser informada após a pesquisa de preços.</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11. Servidor Responsável pela Demanda</w:t>
      </w:r>
    </w:p>
    <w:p>
      <w:pPr>
        <w:spacing w:before="0" w:after="120" w:line="264" w:lineRule="auto"/>
        <w:jc w:val="left"/>
        <w:rPr>
          <w:sz w:val="22"/>
          <w:szCs w:val="22"/>
        </w:rPr>
      </w:pPr>
      <w:r>
        <w:rPr>
          <w:rFonts w:ascii="calibri" w:eastAsia="calibri" w:hAnsi="calibri" w:cs="calibri"/>
          <w:b/>
          <w:bCs/>
          <w:sz w:val="22"/>
          <w:szCs w:val="22"/>
        </w:rPr>
        <w:t>Nome: Edson Mateus de Sousa - Coordenador da CDTEC</w:t>
      </w:r>
    </w:p>
    <w:p>
      <w:pPr>
        <w:spacing w:before="0" w:after="120" w:line="264" w:lineRule="auto"/>
        <w:jc w:val="left"/>
        <w:rPr>
          <w:sz w:val="22"/>
          <w:szCs w:val="22"/>
        </w:rPr>
      </w:pPr>
      <w:r>
        <w:rPr>
          <w:rFonts w:ascii="calibri" w:eastAsia="calibri" w:hAnsi="calibri" w:cs="calibri"/>
          <w:b/>
          <w:bCs/>
          <w:sz w:val="22"/>
          <w:szCs w:val="22"/>
        </w:rPr>
        <w:t>E-mail corporativo: cdtec@trt10.jus.br</w:t>
      </w:r>
    </w:p>
    <w:p>
      <w:pPr>
        <w:spacing w:before="0" w:after="120" w:line="264" w:lineRule="auto"/>
        <w:jc w:val="left"/>
        <w:rPr>
          <w:sz w:val="22"/>
          <w:szCs w:val="22"/>
        </w:rPr>
      </w:pPr>
      <w:r>
        <w:rPr>
          <w:rFonts w:ascii="calibri" w:eastAsia="calibri" w:hAnsi="calibri" w:cs="calibri"/>
          <w:b/>
          <w:bCs/>
          <w:sz w:val="22"/>
          <w:szCs w:val="22"/>
        </w:rPr>
        <w:t>Telefone: (61) 3348-1249 / 1288 / 1280 / 1188</w:t>
      </w:r>
    </w:p>
    <w:p>
      <w:pPr>
        <w:pStyle w:val="Heading1"/>
        <w:keepLines w:val="0"/>
        <w:spacing w:before="320" w:after="160" w:line="264" w:lineRule="auto"/>
        <w:jc w:val="left"/>
        <w:rPr>
          <w:b/>
          <w:bCs/>
          <w:sz w:val="32"/>
          <w:szCs w:val="32"/>
        </w:rPr>
      </w:pPr>
      <w:r>
        <w:rPr>
          <w:rFonts w:ascii="calibri" w:eastAsia="calibri" w:hAnsi="calibri" w:cs="calibri"/>
          <w:b w:val="0"/>
          <w:bCs w:val="0"/>
          <w:i w:val="0"/>
          <w:color w:val="01426A"/>
          <w:sz w:val="32"/>
          <w:szCs w:val="32"/>
        </w:rPr>
        <w:t>12. Figura 1 - Arquitetura SD-WAN + MPLS Proposta</w:t>
      </w:r>
    </w:p>
    <w:p>
      <w:pPr>
        <w:spacing w:before="110" w:after="110" w:line="264" w:lineRule="auto"/>
        <w:jc w:val="left"/>
        <w:rPr>
          <w:sz w:val="22"/>
          <w:szCs w:val="22"/>
        </w:rPr>
      </w:pPr>
    </w:p>
    <w:p>
      <w:pPr>
        <w:spacing w:before="0" w:after="120" w:line="264" w:lineRule="auto"/>
        <w:jc w:val="center"/>
        <w:rPr>
          <w:sz w:val="18"/>
          <w:szCs w:val="18"/>
        </w:rPr>
      </w:pPr>
      <w:r>
        <w:rPr>
          <w:rFonts w:ascii="calibri" w:eastAsia="calibri" w:hAnsi="calibri" w:cs="calibri"/>
          <w:i/>
          <w:iCs/>
          <w:sz w:val="18"/>
          <w:szCs w:val="18"/>
        </w:rPr>
        <w:t>Figura 1 - Arquitetura SD-WAN + MPLS Proposta</w:t>
      </w:r>
    </w:p>
    <w:sectPr>
      <w:footerReference w:type="default" r:id="rId4"/>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0"/>
      <w:rPr>
        <w:sz w:val="16"/>
        <w:szCs w:val="16"/>
      </w:rPr>
    </w:pPr>
    <w:r>
      <w:rPr>
        <w:color w:val="555555"/>
        <w:sz w:val="16"/>
        <w:szCs w:val="16"/>
      </w:rPr>
      <w:t>DFD MPLS TRT10</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footer" Target="footer1.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DFD_MPLS_TRT10</dc:title>
  <cp:revision>0</cp:revision>
</cp:coreProperties>
</file>