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da reunião de planejamento do 4º trimestre</w:t>
      </w:r>
    </w:p>
    <w:p>
      <w:pPr>
        <w:pStyle w:val="Subtitle"/>
      </w:pPr>
      <w:r>
        <w:t>Ateliê Digital Paineira · liderança</w:t>
      </w:r>
    </w:p>
    <w:p>
      <w:r>
        <w:t>Esta ata registra a reunião de planejamento do 4º trimestre do Ateliê Digital Paineira, em que a liderança revisou os resultados do trimestre anterior, definiu as prioridades do Projeto Atlas, aprovou duas contratações e organizou o calendário de capacitação até dezembro. As decisões e os responsáveis estão consolidados no fim do documento.</w:t>
      </w:r>
    </w:p>
    <w:p>
      <w:pPr>
        <w:pStyle w:val="Heading1"/>
      </w:pPr>
      <w:r>
        <w:t>Dados da reunião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Item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Registro</w:t>
            </w:r>
          </w:p>
        </w:tc>
      </w:tr>
      <w:tr>
        <w:tc>
          <w:tcPr>
            <w:tcW w:type="dxa" w:w="4592"/>
          </w:tcPr>
          <w:p>
            <w:r/>
            <w:r>
              <w:t>Data</w:t>
            </w:r>
          </w:p>
        </w:tc>
        <w:tc>
          <w:tcPr>
            <w:tcW w:type="dxa" w:w="4592"/>
          </w:tcPr>
          <w:p>
            <w:r/>
            <w:r>
              <w:t>8 de outubro de 2026</w:t>
            </w:r>
          </w:p>
        </w:tc>
      </w:tr>
      <w:tr>
        <w:tc>
          <w:tcPr>
            <w:tcW w:type="dxa" w:w="4592"/>
          </w:tcPr>
          <w:p>
            <w:r/>
            <w:r>
              <w:t>Horário</w:t>
            </w:r>
          </w:p>
        </w:tc>
        <w:tc>
          <w:tcPr>
            <w:tcW w:type="dxa" w:w="4592"/>
          </w:tcPr>
          <w:p>
            <w:r/>
            <w:r>
              <w:t>14h às 16h05</w:t>
            </w:r>
          </w:p>
        </w:tc>
      </w:tr>
      <w:tr>
        <w:tc>
          <w:tcPr>
            <w:tcW w:type="dxa" w:w="4592"/>
          </w:tcPr>
          <w:p>
            <w:r/>
            <w:r>
              <w:t>Local</w:t>
            </w:r>
          </w:p>
        </w:tc>
        <w:tc>
          <w:tcPr>
            <w:tcW w:type="dxa" w:w="4592"/>
          </w:tcPr>
          <w:p>
            <w:r/>
            <w:r>
              <w:t>Sala Jequitibá e videochamada</w:t>
            </w:r>
          </w:p>
        </w:tc>
      </w:tr>
      <w:tr>
        <w:tc>
          <w:tcPr>
            <w:tcW w:type="dxa" w:w="4592"/>
          </w:tcPr>
          <w:p>
            <w:r/>
            <w:r>
              <w:t>Condução</w:t>
            </w:r>
          </w:p>
        </w:tc>
        <w:tc>
          <w:tcPr>
            <w:tcW w:type="dxa" w:w="4592"/>
          </w:tcPr>
          <w:p>
            <w:r/>
            <w:r>
              <w:t>Rosa Albuquerque, direção geral</w:t>
            </w:r>
          </w:p>
        </w:tc>
      </w:tr>
      <w:tr>
        <w:tc>
          <w:tcPr>
            <w:tcW w:type="dxa" w:w="4592"/>
          </w:tcPr>
          <w:p>
            <w:r/>
            <w:r>
              <w:t>Registro</w:t>
            </w:r>
          </w:p>
        </w:tc>
        <w:tc>
          <w:tcPr>
            <w:tcW w:type="dxa" w:w="4592"/>
          </w:tcPr>
          <w:p>
            <w:r/>
            <w:r>
              <w:t>Carolina Mendes, operações</w:t>
            </w:r>
          </w:p>
        </w:tc>
      </w:tr>
    </w:tbl>
    <w:p/>
    <w:p>
      <w:pPr>
        <w:pStyle w:val="Heading2"/>
      </w:pPr>
      <w:r>
        <w:t>Participantes</w:t>
      </w:r>
    </w:p>
    <w:p>
      <w:pPr>
        <w:pStyle w:val="ListBullet"/>
      </w:pPr>
      <w:r>
        <w:t>Rosa Albuquerque, direção geral</w:t>
      </w:r>
    </w:p>
    <w:p>
      <w:pPr>
        <w:pStyle w:val="ListBullet"/>
      </w:pPr>
      <w:r>
        <w:t>Daniel Moretti, tecnologia e segurança</w:t>
      </w:r>
    </w:p>
    <w:p>
      <w:pPr>
        <w:pStyle w:val="ListBullet"/>
      </w:pPr>
      <w:r>
        <w:t>Juliana Prates, pessoas e cultura</w:t>
      </w:r>
    </w:p>
    <w:p>
      <w:pPr>
        <w:pStyle w:val="ListBullet"/>
      </w:pPr>
      <w:r>
        <w:t>Rodrigo Saldanha, comercial</w:t>
      </w:r>
    </w:p>
    <w:p>
      <w:pPr>
        <w:pStyle w:val="ListBullet"/>
      </w:pPr>
      <w:r>
        <w:t>Lívia Cardoso, design</w:t>
      </w:r>
    </w:p>
    <w:p>
      <w:pPr>
        <w:pStyle w:val="ListBullet"/>
      </w:pPr>
      <w:r>
        <w:t>Carolina Mendes, operações</w:t>
      </w:r>
    </w:p>
    <w:p>
      <w:pPr>
        <w:pStyle w:val="Heading2"/>
      </w:pPr>
      <w:r>
        <w:t>Pauta</w:t>
      </w:r>
    </w:p>
    <w:p>
      <w:pPr>
        <w:pStyle w:val="ListNumber"/>
        <w:numPr>
          <w:ilvl w:val="0"/>
          <w:numId w:val="10"/>
        </w:numPr>
      </w:pPr>
      <w:r>
        <w:t>Resultados do 3º trimestre</w:t>
      </w:r>
    </w:p>
    <w:p>
      <w:pPr>
        <w:pStyle w:val="ListNumber"/>
        <w:numPr>
          <w:ilvl w:val="0"/>
          <w:numId w:val="10"/>
        </w:numPr>
      </w:pPr>
      <w:r>
        <w:t>Projeto Atlas: início, equipe e riscos</w:t>
      </w:r>
    </w:p>
    <w:p>
      <w:pPr>
        <w:pStyle w:val="ListNumber"/>
        <w:numPr>
          <w:ilvl w:val="0"/>
          <w:numId w:val="10"/>
        </w:numPr>
      </w:pPr>
      <w:r>
        <w:t>Contratações para o 4º trimestre</w:t>
      </w:r>
    </w:p>
    <w:p>
      <w:pPr>
        <w:pStyle w:val="ListNumber"/>
        <w:numPr>
          <w:ilvl w:val="0"/>
          <w:numId w:val="10"/>
        </w:numPr>
      </w:pPr>
      <w:r>
        <w:t>Capacitação e eventos</w:t>
      </w:r>
    </w:p>
    <w:p>
      <w:pPr>
        <w:pStyle w:val="ListNumber"/>
        <w:numPr>
          <w:ilvl w:val="0"/>
          <w:numId w:val="10"/>
        </w:numPr>
      </w:pPr>
      <w:r>
        <w:t>Assuntos gerais</w:t>
      </w:r>
    </w:p>
    <w:p>
      <w:pPr>
        <w:pStyle w:val="Heading1"/>
      </w:pPr>
      <w:r>
        <w:t>1. Resultados do 3º trimestre</w:t>
      </w:r>
    </w:p>
    <w:p>
      <w:r>
        <w:t>Rosa abriu a reunião apresentando os números do trimestre. A receita ficou 8% acima do previsto, com destaque para os contratos de manutenção, que passaram a representar quase um terço do faturamento e trouxeram mais previsibilidade ao caixa.</w:t>
      </w:r>
    </w:p>
    <w:p>
      <w:r>
        <w:t>Daniel relatou que a migração dos ambientes de teste para a nova infraestrutura foi concluída sem incidentes e que o tempo médio de implantação caiu de quarenta para doze minutos. Lívia observou que a biblioteca de componentes de interface já é usada em quatro projetos e reduziu o tempo de prototipação.</w:t>
      </w:r>
    </w:p>
    <w:p>
      <w:r>
        <w:t>Como ponto de atenção, Rodrigo lembrou que dois clientes atrasaram pagamentos e sugeriu revisar as condições de cobrança nas próximas propostas.</w:t>
      </w:r>
    </w:p>
    <w:p>
      <w:pPr>
        <w:pStyle w:val="Heading1"/>
      </w:pPr>
      <w:r>
        <w:t>2. Projeto Atlas</w:t>
      </w:r>
    </w:p>
    <w:p>
      <w:r>
        <w:t>O Projeto Atlas, com a Rede Farol de Materiais de Construção, foi aprovado pelo cliente na semana anterior. Trata-se de um aplicativo de pedidos para lojistas parceiros, com integração ao sistema de estoque do cliente.</w:t>
      </w:r>
    </w:p>
    <w:p>
      <w:r>
        <w:t>Rodrigo apresentou o escopo vendido e o cronograma de dezesseis semanas. Daniel alertou que a integração com o estoque depende de uma interface que o cliente ainda está documentando, e propôs começar pelo módulo de catálogo, que não depende dela. A proposta foi aceita por todos.</w:t>
      </w:r>
    </w:p>
    <w:p>
      <w:pPr>
        <w:pStyle w:val="Heading2"/>
      </w:pPr>
      <w:r>
        <w:t>Riscos levantados</w:t>
      </w:r>
    </w:p>
    <w:p>
      <w:pPr>
        <w:pStyle w:val="ListBullet"/>
      </w:pPr>
      <w:r>
        <w:t>Atraso na documentação da integração de estoque do cliente.</w:t>
      </w:r>
    </w:p>
    <w:p>
      <w:pPr>
        <w:pStyle w:val="ListBullet"/>
      </w:pPr>
      <w:r>
        <w:t>Equipe de design com outro projeto terminando em novembro.</w:t>
      </w:r>
    </w:p>
    <w:p>
      <w:pPr>
        <w:pStyle w:val="ListBullet"/>
      </w:pPr>
      <w:r>
        <w:t>Período de festas de fim de ano no meio do cronograma.</w:t>
      </w:r>
    </w:p>
    <w:p>
      <w:pPr>
        <w:pStyle w:val="Heading1"/>
      </w:pPr>
      <w:r>
        <w:t>3. Contratações</w:t>
      </w:r>
    </w:p>
    <w:p>
      <w:r>
        <w:t>Juliana apresentou os perfis abertos. Foram aprovadas a contratação de uma pessoa desenvolvedora com experiência em aplicativos móveis e de uma pessoa designer de produto em nível pleno, ambas para início em novembro. A vaga de analista de dados foi adiada para o primeiro trimestre do próximo ano.</w:t>
      </w:r>
    </w:p>
    <w:p>
      <w:pPr>
        <w:pStyle w:val="Heading1"/>
      </w:pPr>
      <w:r>
        <w:t>4. Capacitação e eventos</w:t>
      </w:r>
    </w:p>
    <w:p>
      <w:r>
        <w:t>Ficou definido que o encontro de fim de ano será presencial, na primeira semana de dezembro, com uma tarde de apresentações dos projetos do ano. Juliana vai organizar duas oficinas internas: acessibilidade em interfaces, conduzida por Lívia, e segurança no desenvolvimento, conduzida por Daniel.</w:t>
      </w:r>
    </w:p>
    <w:p>
      <w:pPr>
        <w:pStyle w:val="Heading1"/>
      </w:pPr>
      <w:r>
        <w:t>5. Assuntos gerais</w:t>
      </w:r>
    </w:p>
    <w:p>
      <w:r>
        <w:t>Carolina informou que o contrato do escritório vence em março e que haverá uma consulta às equipes sobre o uso dos espaços antes da renovação. Não houve outros assuntos.</w:t>
      </w:r>
    </w:p>
    <w:p>
      <w:pPr>
        <w:pStyle w:val="Heading1"/>
      </w:pPr>
      <w:r>
        <w:t>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</w:trPr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Nº</w:t>
            </w:r>
          </w:p>
        </w:tc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Decisão</w:t>
            </w:r>
          </w:p>
        </w:tc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Responsável</w:t>
            </w:r>
          </w:p>
        </w:tc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Prazo</w:t>
            </w:r>
          </w:p>
        </w:tc>
      </w:tr>
      <w:tr>
        <w:tc>
          <w:tcPr>
            <w:tcW w:type="dxa" w:w="2296"/>
          </w:tcPr>
          <w:p>
            <w:r/>
            <w:r>
              <w:t>1</w:t>
            </w:r>
          </w:p>
        </w:tc>
        <w:tc>
          <w:tcPr>
            <w:tcW w:type="dxa" w:w="2296"/>
          </w:tcPr>
          <w:p>
            <w:r/>
            <w:r>
              <w:t>Iniciar o Projeto Atlas pelo módulo de catálogo</w:t>
            </w:r>
          </w:p>
        </w:tc>
        <w:tc>
          <w:tcPr>
            <w:tcW w:type="dxa" w:w="2296"/>
          </w:tcPr>
          <w:p>
            <w:r/>
            <w:r>
              <w:t>Daniel Moretti</w:t>
            </w:r>
          </w:p>
        </w:tc>
        <w:tc>
          <w:tcPr>
            <w:tcW w:type="dxa" w:w="2296"/>
          </w:tcPr>
          <w:p>
            <w:r/>
            <w:r>
              <w:t>20/10/2026</w:t>
            </w:r>
          </w:p>
        </w:tc>
      </w:tr>
      <w:tr>
        <w:tc>
          <w:tcPr>
            <w:tcW w:type="dxa" w:w="2296"/>
          </w:tcPr>
          <w:p>
            <w:r/>
            <w:r>
              <w:t>2</w:t>
            </w:r>
          </w:p>
        </w:tc>
        <w:tc>
          <w:tcPr>
            <w:tcW w:type="dxa" w:w="2296"/>
          </w:tcPr>
          <w:p>
            <w:r/>
            <w:r>
              <w:t>Revisar condições de cobrança das propostas</w:t>
            </w:r>
          </w:p>
        </w:tc>
        <w:tc>
          <w:tcPr>
            <w:tcW w:type="dxa" w:w="2296"/>
          </w:tcPr>
          <w:p>
            <w:r/>
            <w:r>
              <w:t>Rodrigo Saldanha</w:t>
            </w:r>
          </w:p>
        </w:tc>
        <w:tc>
          <w:tcPr>
            <w:tcW w:type="dxa" w:w="2296"/>
          </w:tcPr>
          <w:p>
            <w:r/>
            <w:r>
              <w:t>31/10/2026</w:t>
            </w:r>
          </w:p>
        </w:tc>
      </w:tr>
      <w:tr>
        <w:tc>
          <w:tcPr>
            <w:tcW w:type="dxa" w:w="2296"/>
          </w:tcPr>
          <w:p>
            <w:r/>
            <w:r>
              <w:t>3</w:t>
            </w:r>
          </w:p>
        </w:tc>
        <w:tc>
          <w:tcPr>
            <w:tcW w:type="dxa" w:w="2296"/>
          </w:tcPr>
          <w:p>
            <w:r/>
            <w:r>
              <w:t>Abrir as duas vagas aprovadas</w:t>
            </w:r>
          </w:p>
        </w:tc>
        <w:tc>
          <w:tcPr>
            <w:tcW w:type="dxa" w:w="2296"/>
          </w:tcPr>
          <w:p>
            <w:r/>
            <w:r>
              <w:t>Juliana Prates</w:t>
            </w:r>
          </w:p>
        </w:tc>
        <w:tc>
          <w:tcPr>
            <w:tcW w:type="dxa" w:w="2296"/>
          </w:tcPr>
          <w:p>
            <w:r/>
            <w:r>
              <w:t>15/10/2026</w:t>
            </w:r>
          </w:p>
        </w:tc>
      </w:tr>
      <w:tr>
        <w:tc>
          <w:tcPr>
            <w:tcW w:type="dxa" w:w="2296"/>
          </w:tcPr>
          <w:p>
            <w:r/>
            <w:r>
              <w:t>4</w:t>
            </w:r>
          </w:p>
        </w:tc>
        <w:tc>
          <w:tcPr>
            <w:tcW w:type="dxa" w:w="2296"/>
          </w:tcPr>
          <w:p>
            <w:r/>
            <w:r>
              <w:t>Agendar oficinas de acessibilidade e segurança</w:t>
            </w:r>
          </w:p>
        </w:tc>
        <w:tc>
          <w:tcPr>
            <w:tcW w:type="dxa" w:w="2296"/>
          </w:tcPr>
          <w:p>
            <w:r/>
            <w:r>
              <w:t>Juliana Prates</w:t>
            </w:r>
          </w:p>
        </w:tc>
        <w:tc>
          <w:tcPr>
            <w:tcW w:type="dxa" w:w="2296"/>
          </w:tcPr>
          <w:p>
            <w:r/>
            <w:r>
              <w:t>30/11/2026</w:t>
            </w:r>
          </w:p>
        </w:tc>
      </w:tr>
      <w:tr>
        <w:tc>
          <w:tcPr>
            <w:tcW w:type="dxa" w:w="2296"/>
          </w:tcPr>
          <w:p>
            <w:r/>
            <w:r>
              <w:t>5</w:t>
            </w:r>
          </w:p>
        </w:tc>
        <w:tc>
          <w:tcPr>
            <w:tcW w:type="dxa" w:w="2296"/>
          </w:tcPr>
          <w:p>
            <w:r/>
            <w:r>
              <w:t>Consultar equipes sobre o uso do escritório</w:t>
            </w:r>
          </w:p>
        </w:tc>
        <w:tc>
          <w:tcPr>
            <w:tcW w:type="dxa" w:w="2296"/>
          </w:tcPr>
          <w:p>
            <w:r/>
            <w:r>
              <w:t>Carolina Mendes</w:t>
            </w:r>
          </w:p>
        </w:tc>
        <w:tc>
          <w:tcPr>
            <w:tcW w:type="dxa" w:w="2296"/>
          </w:tcPr>
          <w:p>
            <w:r/>
            <w:r>
              <w:t>15/12/2026</w:t>
            </w:r>
          </w:p>
        </w:tc>
      </w:tr>
    </w:tbl>
    <w:p/>
    <w:p>
      <w:pPr>
        <w:pStyle w:val="Heading1"/>
      </w:pPr>
      <w:r>
        <w:t>Próxima reunião</w:t>
      </w:r>
    </w:p>
    <w:p>
      <w:r>
        <w:t>A próxima reunião de acompanhamento será em 5 de novembro de 2026, às 14h, no mesmo formato. Esta ata foi lida e aprovada pelos participantes ao final da reunião.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Ata da reunião de planejamento · 08/10/2026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3899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 de planejamento do 4º trimestre</dc:title>
  <dc:subject>Resultados, Projeto Atlas, contratações e capacitação</dc:subject>
  <dc:creator>Carolina Mendes</dc:creator>
  <cp:keywords>ata, reunião, planejamento, decisões</cp:keywords>
  <dc:description>Documento fictício criado para demonstração.</dc:description>
  <cp:lastModifiedBy>Carolina Mendes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