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nwsfa5du12jw" w:id="5"/>
      <w:bookmarkEnd w:id="5"/>
      <w:r w:rsidDel="00000000" w:rsidR="00000000" w:rsidRPr="00000000">
        <w:rPr>
          <w:rtl w:val="0"/>
        </w:rPr>
        <w:t xml:space="preserve">Secure Architecture Report</w:t>
      </w:r>
    </w:p>
    <w:p w:rsidR="00000000" w:rsidDel="00000000" w:rsidP="00000000" w:rsidRDefault="00000000" w:rsidRPr="00000000" w14:paraId="00000007">
      <w:pPr>
        <w:pStyle w:val="Subtitle"/>
        <w:jc w:val="center"/>
        <w:rPr/>
        <w:sectPr>
          <w:headerReference r:id="rId6" w:type="default"/>
          <w:footerReference r:id="rId7" w:type="default"/>
          <w:pgSz w:h="15840" w:w="12240" w:orient="portrait"/>
          <w:pgMar w:bottom="1440" w:top="1440" w:left="1440" w:right="1440" w:header="720" w:footer="720"/>
          <w:pgNumType w:start="1"/>
        </w:sectPr>
      </w:pPr>
      <w:bookmarkStart w:colFirst="0" w:colLast="0" w:name="_mb569upyqd3c" w:id="6"/>
      <w:bookmarkEnd w:id="6"/>
      <w:r w:rsidDel="00000000" w:rsidR="00000000" w:rsidRPr="00000000">
        <w:rPr>
          <w:rtl w:val="0"/>
        </w:rPr>
        <w:t xml:space="preserve">Violet Figueroa</w:t>
      </w:r>
    </w:p>
    <w:p w:rsidR="00000000" w:rsidDel="00000000" w:rsidP="00000000" w:rsidRDefault="00000000" w:rsidRPr="00000000" w14:paraId="00000008">
      <w:pPr>
        <w:jc w:val="left"/>
        <w:rPr/>
      </w:pPr>
      <w:r w:rsidDel="00000000" w:rsidR="00000000" w:rsidRPr="00000000">
        <w:rPr>
          <w:rtl w:val="0"/>
        </w:rPr>
      </w:r>
    </w:p>
    <w:sdt>
      <w:sdtPr>
        <w:id w:val="-551560558"/>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xhmj4rhmqq0">
            <w:r w:rsidDel="00000000" w:rsidR="00000000" w:rsidRPr="00000000">
              <w:rPr>
                <w:i w:val="0"/>
                <w:smallCaps w:val="0"/>
                <w:strike w:val="0"/>
                <w:color w:val="1155cc"/>
                <w:sz w:val="22"/>
                <w:szCs w:val="22"/>
                <w:u w:val="singl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i w:val="0"/>
              <w:smallCaps w:val="0"/>
              <w:strike w:val="0"/>
              <w:color w:val="1155cc"/>
              <w:sz w:val="22"/>
              <w:szCs w:val="22"/>
              <w:u w:val="single"/>
              <w:shd w:fill="auto" w:val="clear"/>
              <w:vertAlign w:val="baseline"/>
            </w:rPr>
          </w:pPr>
          <w:hyperlink w:anchor="_bq5c1z4rkgy2">
            <w:r w:rsidDel="00000000" w:rsidR="00000000" w:rsidRPr="00000000">
              <w:rPr>
                <w:i w:val="0"/>
                <w:smallCaps w:val="0"/>
                <w:strike w:val="0"/>
                <w:color w:val="1155cc"/>
                <w:sz w:val="22"/>
                <w:szCs w:val="22"/>
                <w:u w:val="single"/>
                <w:shd w:fill="auto" w:val="clear"/>
                <w:vertAlign w:val="baseline"/>
                <w:rtl w:val="0"/>
              </w:rPr>
              <w:t xml:space="preserve">Current Security Landscape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qyv5dnis7sjy">
            <w:r w:rsidDel="00000000" w:rsidR="00000000" w:rsidRPr="00000000">
              <w:rPr>
                <w:i w:val="0"/>
                <w:smallCaps w:val="0"/>
                <w:strike w:val="0"/>
                <w:color w:val="1155cc"/>
                <w:sz w:val="22"/>
                <w:szCs w:val="22"/>
                <w:u w:val="single"/>
                <w:shd w:fill="auto" w:val="clear"/>
                <w:vertAlign w:val="baseline"/>
                <w:rtl w:val="0"/>
              </w:rPr>
              <w:t xml:space="preserve">Existing Security Architecture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rvy9te8o9z7m">
            <w:r w:rsidDel="00000000" w:rsidR="00000000" w:rsidRPr="00000000">
              <w:rPr>
                <w:i w:val="0"/>
                <w:smallCaps w:val="0"/>
                <w:strike w:val="0"/>
                <w:color w:val="1155cc"/>
                <w:sz w:val="22"/>
                <w:szCs w:val="22"/>
                <w:u w:val="single"/>
                <w:shd w:fill="auto" w:val="clear"/>
                <w:vertAlign w:val="baseline"/>
                <w:rtl w:val="0"/>
              </w:rPr>
              <w:t xml:space="preserve">Key Vulnerabilities Identified</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9ulsteuap4u">
            <w:r w:rsidDel="00000000" w:rsidR="00000000" w:rsidRPr="00000000">
              <w:rPr>
                <w:i w:val="0"/>
                <w:smallCaps w:val="0"/>
                <w:strike w:val="0"/>
                <w:color w:val="1155cc"/>
                <w:sz w:val="22"/>
                <w:szCs w:val="22"/>
                <w:u w:val="single"/>
                <w:shd w:fill="auto" w:val="clear"/>
                <w:vertAlign w:val="baseline"/>
                <w:rtl w:val="0"/>
              </w:rPr>
              <w:t xml:space="preserve">Risks to Business Operations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i w:val="0"/>
              <w:smallCaps w:val="0"/>
              <w:strike w:val="0"/>
              <w:color w:val="1155cc"/>
              <w:sz w:val="22"/>
              <w:szCs w:val="22"/>
              <w:u w:val="single"/>
              <w:shd w:fill="auto" w:val="clear"/>
              <w:vertAlign w:val="baseline"/>
            </w:rPr>
          </w:pPr>
          <w:hyperlink w:anchor="_fiefw4ocwlmx">
            <w:r w:rsidDel="00000000" w:rsidR="00000000" w:rsidRPr="00000000">
              <w:rPr>
                <w:i w:val="0"/>
                <w:smallCaps w:val="0"/>
                <w:strike w:val="0"/>
                <w:color w:val="1155cc"/>
                <w:sz w:val="22"/>
                <w:szCs w:val="22"/>
                <w:u w:val="single"/>
                <w:shd w:fill="auto" w:val="clear"/>
                <w:vertAlign w:val="baseline"/>
                <w:rtl w:val="0"/>
              </w:rPr>
              <w:t xml:space="preserve">Security Architecture Goals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idzf9xdu9nkk">
            <w:r w:rsidDel="00000000" w:rsidR="00000000" w:rsidRPr="00000000">
              <w:rPr>
                <w:i w:val="0"/>
                <w:smallCaps w:val="0"/>
                <w:strike w:val="0"/>
                <w:color w:val="1155cc"/>
                <w:sz w:val="22"/>
                <w:szCs w:val="22"/>
                <w:u w:val="single"/>
                <w:shd w:fill="auto" w:val="clear"/>
                <w:vertAlign w:val="baseline"/>
                <w:rtl w:val="0"/>
              </w:rPr>
              <w:t xml:space="preserve">Business Requirements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26yj83nt4qur">
            <w:r w:rsidDel="00000000" w:rsidR="00000000" w:rsidRPr="00000000">
              <w:rPr>
                <w:i w:val="0"/>
                <w:smallCaps w:val="0"/>
                <w:strike w:val="0"/>
                <w:color w:val="1155cc"/>
                <w:sz w:val="22"/>
                <w:szCs w:val="22"/>
                <w:u w:val="single"/>
                <w:shd w:fill="auto" w:val="clear"/>
                <w:vertAlign w:val="baseline"/>
                <w:rtl w:val="0"/>
              </w:rPr>
              <w:t xml:space="preserve">Compliance Considerations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6dtchncba3ah">
            <w:r w:rsidDel="00000000" w:rsidR="00000000" w:rsidRPr="00000000">
              <w:rPr>
                <w:i w:val="0"/>
                <w:smallCaps w:val="0"/>
                <w:strike w:val="0"/>
                <w:color w:val="1155cc"/>
                <w:sz w:val="22"/>
                <w:szCs w:val="22"/>
                <w:u w:val="single"/>
                <w:shd w:fill="auto" w:val="clear"/>
                <w:vertAlign w:val="baseline"/>
                <w:rtl w:val="0"/>
              </w:rPr>
              <w:t xml:space="preserve">Future Growth and Adaptability</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i w:val="0"/>
              <w:smallCaps w:val="0"/>
              <w:strike w:val="0"/>
              <w:color w:val="1155cc"/>
              <w:sz w:val="22"/>
              <w:szCs w:val="22"/>
              <w:u w:val="single"/>
              <w:shd w:fill="auto" w:val="clear"/>
              <w:vertAlign w:val="baseline"/>
            </w:rPr>
          </w:pPr>
          <w:hyperlink w:anchor="_nqi7z6i1is25">
            <w:r w:rsidDel="00000000" w:rsidR="00000000" w:rsidRPr="00000000">
              <w:rPr>
                <w:i w:val="0"/>
                <w:smallCaps w:val="0"/>
                <w:strike w:val="0"/>
                <w:color w:val="1155cc"/>
                <w:sz w:val="22"/>
                <w:szCs w:val="22"/>
                <w:u w:val="single"/>
                <w:shd w:fill="auto" w:val="clear"/>
                <w:vertAlign w:val="baseline"/>
                <w:rtl w:val="0"/>
              </w:rPr>
              <w:t xml:space="preserve">Security Architecture Recommendations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ee5mf29h9vxt">
            <w:r w:rsidDel="00000000" w:rsidR="00000000" w:rsidRPr="00000000">
              <w:rPr>
                <w:i w:val="0"/>
                <w:smallCaps w:val="0"/>
                <w:strike w:val="0"/>
                <w:color w:val="1155cc"/>
                <w:sz w:val="22"/>
                <w:szCs w:val="22"/>
                <w:u w:val="single"/>
                <w:shd w:fill="auto" w:val="clear"/>
                <w:vertAlign w:val="baseline"/>
                <w:rtl w:val="0"/>
              </w:rPr>
              <w:t xml:space="preserve">Network Security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7d14pta7b812">
            <w:r w:rsidDel="00000000" w:rsidR="00000000" w:rsidRPr="00000000">
              <w:rPr>
                <w:i w:val="0"/>
                <w:smallCaps w:val="0"/>
                <w:strike w:val="0"/>
                <w:color w:val="1155cc"/>
                <w:sz w:val="22"/>
                <w:szCs w:val="22"/>
                <w:u w:val="single"/>
                <w:shd w:fill="auto" w:val="clear"/>
                <w:vertAlign w:val="baseline"/>
                <w:rtl w:val="0"/>
              </w:rPr>
              <w:t xml:space="preserve">Data Security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b1thk9zbjqb2">
            <w:r w:rsidDel="00000000" w:rsidR="00000000" w:rsidRPr="00000000">
              <w:rPr>
                <w:i w:val="0"/>
                <w:smallCaps w:val="0"/>
                <w:strike w:val="0"/>
                <w:color w:val="1155cc"/>
                <w:sz w:val="22"/>
                <w:szCs w:val="22"/>
                <w:u w:val="single"/>
                <w:shd w:fill="auto" w:val="clear"/>
                <w:vertAlign w:val="baseline"/>
                <w:rtl w:val="0"/>
              </w:rPr>
              <w:t xml:space="preserve">Endpoint Security</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3xaefz4c7bpa">
            <w:r w:rsidDel="00000000" w:rsidR="00000000" w:rsidRPr="00000000">
              <w:rPr>
                <w:i w:val="0"/>
                <w:smallCaps w:val="0"/>
                <w:strike w:val="0"/>
                <w:color w:val="1155cc"/>
                <w:sz w:val="22"/>
                <w:szCs w:val="22"/>
                <w:u w:val="single"/>
                <w:shd w:fill="auto" w:val="clear"/>
                <w:vertAlign w:val="baseline"/>
                <w:rtl w:val="0"/>
              </w:rPr>
              <w:t xml:space="preserve">Identity and Access Management (IAM)</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wt3r62ksiv7p">
            <w:r w:rsidDel="00000000" w:rsidR="00000000" w:rsidRPr="00000000">
              <w:rPr>
                <w:i w:val="0"/>
                <w:smallCaps w:val="0"/>
                <w:strike w:val="0"/>
                <w:color w:val="1155cc"/>
                <w:sz w:val="22"/>
                <w:szCs w:val="22"/>
                <w:u w:val="single"/>
                <w:shd w:fill="auto" w:val="clear"/>
                <w:vertAlign w:val="baseline"/>
                <w:rtl w:val="0"/>
              </w:rPr>
              <w:t xml:space="preserve">Cloud Security</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5tfkzr71v3ti">
            <w:r w:rsidDel="00000000" w:rsidR="00000000" w:rsidRPr="00000000">
              <w:rPr>
                <w:i w:val="0"/>
                <w:smallCaps w:val="0"/>
                <w:strike w:val="0"/>
                <w:color w:val="1155cc"/>
                <w:sz w:val="22"/>
                <w:szCs w:val="22"/>
                <w:u w:val="single"/>
                <w:shd w:fill="auto" w:val="clear"/>
                <w:vertAlign w:val="baseline"/>
                <w:rtl w:val="0"/>
              </w:rPr>
              <w:t xml:space="preserve">Incident Response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i2vjrp7ythyb">
            <w:r w:rsidDel="00000000" w:rsidR="00000000" w:rsidRPr="00000000">
              <w:rPr>
                <w:i w:val="0"/>
                <w:smallCaps w:val="0"/>
                <w:strike w:val="0"/>
                <w:color w:val="1155cc"/>
                <w:sz w:val="22"/>
                <w:szCs w:val="22"/>
                <w:u w:val="single"/>
                <w:shd w:fill="auto" w:val="clear"/>
                <w:vertAlign w:val="baseline"/>
                <w:rtl w:val="0"/>
              </w:rPr>
              <w:t xml:space="preserve">Physical Security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i w:val="0"/>
              <w:smallCaps w:val="0"/>
              <w:strike w:val="0"/>
              <w:color w:val="1155cc"/>
              <w:sz w:val="22"/>
              <w:szCs w:val="22"/>
              <w:u w:val="single"/>
              <w:shd w:fill="auto" w:val="clear"/>
              <w:vertAlign w:val="baseline"/>
            </w:rPr>
          </w:pPr>
          <w:hyperlink w:anchor="_l0xm10y2f9p4">
            <w:r w:rsidDel="00000000" w:rsidR="00000000" w:rsidRPr="00000000">
              <w:rPr>
                <w:i w:val="0"/>
                <w:smallCaps w:val="0"/>
                <w:strike w:val="0"/>
                <w:color w:val="1155cc"/>
                <w:sz w:val="22"/>
                <w:szCs w:val="22"/>
                <w:u w:val="single"/>
                <w:shd w:fill="auto" w:val="clear"/>
                <w:vertAlign w:val="baseline"/>
                <w:rtl w:val="0"/>
              </w:rPr>
              <w:t xml:space="preserve">Implementation Strategy</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gsx2wnew1qdy">
            <w:r w:rsidDel="00000000" w:rsidR="00000000" w:rsidRPr="00000000">
              <w:rPr>
                <w:i w:val="0"/>
                <w:smallCaps w:val="0"/>
                <w:strike w:val="0"/>
                <w:color w:val="1155cc"/>
                <w:sz w:val="22"/>
                <w:szCs w:val="22"/>
                <w:u w:val="single"/>
                <w:shd w:fill="auto" w:val="clear"/>
                <w:vertAlign w:val="baseline"/>
                <w:rtl w:val="0"/>
              </w:rPr>
              <w:t xml:space="preserve">Phase 1: Immediate Actions (0–3 months)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lhbjrejn9z1h">
            <w:r w:rsidDel="00000000" w:rsidR="00000000" w:rsidRPr="00000000">
              <w:rPr>
                <w:i w:val="0"/>
                <w:smallCaps w:val="0"/>
                <w:strike w:val="0"/>
                <w:color w:val="1155cc"/>
                <w:sz w:val="22"/>
                <w:szCs w:val="22"/>
                <w:u w:val="single"/>
                <w:shd w:fill="auto" w:val="clear"/>
                <w:vertAlign w:val="baseline"/>
                <w:rtl w:val="0"/>
              </w:rPr>
              <w:t xml:space="preserve">Phase 2: Intermediate Enhancements (3–9 months)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64f58o8c51h7">
            <w:r w:rsidDel="00000000" w:rsidR="00000000" w:rsidRPr="00000000">
              <w:rPr>
                <w:i w:val="0"/>
                <w:smallCaps w:val="0"/>
                <w:strike w:val="0"/>
                <w:color w:val="1155cc"/>
                <w:sz w:val="22"/>
                <w:szCs w:val="22"/>
                <w:u w:val="single"/>
                <w:shd w:fill="auto" w:val="clear"/>
                <w:vertAlign w:val="baseline"/>
                <w:rtl w:val="0"/>
              </w:rPr>
              <w:t xml:space="preserve">Phase 3: Long-Term Maturation (9–18 months)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lr3kmmpcbhew">
            <w:r w:rsidDel="00000000" w:rsidR="00000000" w:rsidRPr="00000000">
              <w:rPr>
                <w:i w:val="0"/>
                <w:smallCaps w:val="0"/>
                <w:strike w:val="0"/>
                <w:color w:val="1155cc"/>
                <w:sz w:val="22"/>
                <w:szCs w:val="22"/>
                <w:u w:val="single"/>
                <w:shd w:fill="auto" w:val="clear"/>
                <w:vertAlign w:val="baseline"/>
                <w:rtl w:val="0"/>
              </w:rPr>
              <w:t xml:space="preserve">Resource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i w:val="0"/>
              <w:smallCaps w:val="0"/>
              <w:strike w:val="0"/>
              <w:color w:val="1155cc"/>
              <w:sz w:val="22"/>
              <w:szCs w:val="22"/>
              <w:u w:val="single"/>
              <w:shd w:fill="auto" w:val="clear"/>
              <w:vertAlign w:val="baseline"/>
            </w:rPr>
          </w:pPr>
          <w:hyperlink w:anchor="_unvfgbqdap9r">
            <w:r w:rsidDel="00000000" w:rsidR="00000000" w:rsidRPr="00000000">
              <w:rPr>
                <w:i w:val="0"/>
                <w:smallCaps w:val="0"/>
                <w:strike w:val="0"/>
                <w:color w:val="1155cc"/>
                <w:sz w:val="22"/>
                <w:szCs w:val="22"/>
                <w:u w:val="single"/>
                <w:shd w:fill="auto" w:val="clear"/>
                <w:vertAlign w:val="baseline"/>
                <w:rtl w:val="0"/>
              </w:rPr>
              <w:t xml:space="preserve">Timelines and Milestones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i w:val="0"/>
              <w:smallCaps w:val="0"/>
              <w:strike w:val="0"/>
              <w:color w:val="1155cc"/>
              <w:sz w:val="22"/>
              <w:szCs w:val="22"/>
              <w:u w:val="single"/>
              <w:shd w:fill="auto" w:val="clear"/>
              <w:vertAlign w:val="baseline"/>
            </w:rPr>
          </w:pPr>
          <w:hyperlink w:anchor="_adeh3ck9vgkx">
            <w:r w:rsidDel="00000000" w:rsidR="00000000" w:rsidRPr="00000000">
              <w:rPr>
                <w:i w:val="0"/>
                <w:smallCaps w:val="0"/>
                <w:strike w:val="0"/>
                <w:color w:val="1155cc"/>
                <w:sz w:val="22"/>
                <w:szCs w:val="22"/>
                <w:u w:val="singl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pPr>
      <w:bookmarkStart w:colFirst="0" w:colLast="0" w:name="_xi03qtehcnr6" w:id="7"/>
      <w:bookmarkEnd w:id="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txhmj4rhmqq0" w:id="8"/>
      <w:bookmarkEnd w:id="8"/>
      <w:r w:rsidDel="00000000" w:rsidR="00000000" w:rsidRPr="00000000">
        <w:rPr>
          <w:rtl w:val="0"/>
        </w:rPr>
        <w:t xml:space="preserve">Introduction</w:t>
      </w:r>
    </w:p>
    <w:p w:rsidR="00000000" w:rsidDel="00000000" w:rsidP="00000000" w:rsidRDefault="00000000" w:rsidRPr="00000000" w14:paraId="00000023">
      <w:pPr>
        <w:rPr/>
      </w:pPr>
      <w:r w:rsidDel="00000000" w:rsidR="00000000" w:rsidRPr="00000000">
        <w:rPr>
          <w:rtl w:val="0"/>
        </w:rPr>
        <w:t xml:space="preserve">This report provides a comprehensive assessment of the organization’s current security architecture and offers actionable recommendations to strengthen the confidentiality, integrity, and availability of its information systems. The assessment is grounded in the NIST SP 800-53 Revision 5 framework (NIST, 2020), which delivers a flexible, risk-based catalog of security and privacy controls applicable to organizations of all sizes and sectors. It is widely adopted by both government and private sector organizations for risk-based security control selection. The scope of this report includes all major network, endpoint, cloud, and physical assets supporting business operations, with particular attention to systems handling sensitive customer and payment data. The analysis identifies key vulnerabilities and risks, evaluates the organization’s compliance posture relative to regulatory requirements such as PCI DSS (Payment Card Industry Security Standards Council, 2022) and data privacy laws, and outlines a practical, phased strategy for implementing security improvements. While every effort has been made to provide a thorough evaluation, this assessment is based on information available at the time of review and may be limited by incomplete asset inventories or evolving threat conditions (NIST, 2020, p. 2–4). The recommendations herein are intended to guide leadership in prioritizing security investments and establishing a resilient, future-ready security architecture in alignment with business objectives and regulatory obligations.</w:t>
      </w:r>
    </w:p>
    <w:p w:rsidR="00000000" w:rsidDel="00000000" w:rsidP="00000000" w:rsidRDefault="00000000" w:rsidRPr="00000000" w14:paraId="00000024">
      <w:pPr>
        <w:pStyle w:val="Heading2"/>
        <w:rPr/>
      </w:pPr>
      <w:bookmarkStart w:colFirst="0" w:colLast="0" w:name="_bq5c1z4rkgy2" w:id="9"/>
      <w:bookmarkEnd w:id="9"/>
      <w:r w:rsidDel="00000000" w:rsidR="00000000" w:rsidRPr="00000000">
        <w:rPr>
          <w:rtl w:val="0"/>
        </w:rPr>
        <w:t xml:space="preserve">Current Security Landscape</w:t>
      </w:r>
    </w:p>
    <w:p w:rsidR="00000000" w:rsidDel="00000000" w:rsidP="00000000" w:rsidRDefault="00000000" w:rsidRPr="00000000" w14:paraId="00000025">
      <w:pPr>
        <w:pStyle w:val="Heading3"/>
        <w:rPr/>
      </w:pPr>
      <w:bookmarkStart w:colFirst="0" w:colLast="0" w:name="_qyv5dnis7sjy" w:id="10"/>
      <w:bookmarkEnd w:id="10"/>
      <w:r w:rsidDel="00000000" w:rsidR="00000000" w:rsidRPr="00000000">
        <w:rPr>
          <w:rtl w:val="0"/>
        </w:rPr>
        <w:t xml:space="preserve">Existing Security Architecture</w:t>
      </w:r>
    </w:p>
    <w:p w:rsidR="00000000" w:rsidDel="00000000" w:rsidP="00000000" w:rsidRDefault="00000000" w:rsidRPr="00000000" w14:paraId="00000026">
      <w:pPr>
        <w:rPr/>
      </w:pPr>
      <w:r w:rsidDel="00000000" w:rsidR="00000000" w:rsidRPr="00000000">
        <w:rPr>
          <w:rtl w:val="0"/>
        </w:rPr>
        <w:t xml:space="preserve">The organization’s current security architecture is characterized by a flat network topology, where all internal devices-including employee workstations, servers, printers, and wireless access points-operate on the same network segment. This environment is protected only by a basic firewall positioned between the ISP router and the internal network. The primary business systems, including the public-facing web server, payment gateway, and database server, are co-located on the same hardware, increasing the risk of compromise. Employee devices, such as workstations and mobile devices, are managed inconsistently, with users often retaining local administrative privileges and patching occurring on an ad hoc basis. Networked printers and IoT devices are connected directly to the main network without isolation or inventory controls. Cloud services are leveraged for storage and SaaS applications, but their adoption is largely unmanaged, with limited oversight of access and configuration. Physical security controls are minimal, with shared server room access and no access logging or monitoring in place.</w:t>
      </w:r>
    </w:p>
    <w:p w:rsidR="00000000" w:rsidDel="00000000" w:rsidP="00000000" w:rsidRDefault="00000000" w:rsidRPr="00000000" w14:paraId="00000027">
      <w:pPr>
        <w:pStyle w:val="Heading3"/>
        <w:rPr/>
      </w:pPr>
      <w:bookmarkStart w:colFirst="0" w:colLast="0" w:name="_rvy9te8o9z7m" w:id="11"/>
      <w:bookmarkEnd w:id="11"/>
      <w:r w:rsidDel="00000000" w:rsidR="00000000" w:rsidRPr="00000000">
        <w:rPr>
          <w:rtl w:val="0"/>
        </w:rPr>
        <w:t xml:space="preserve">Key Vulnerabilities Identified</w:t>
      </w:r>
    </w:p>
    <w:p w:rsidR="00000000" w:rsidDel="00000000" w:rsidP="00000000" w:rsidRDefault="00000000" w:rsidRPr="00000000" w14:paraId="00000028">
      <w:pPr>
        <w:rPr/>
      </w:pPr>
      <w:r w:rsidDel="00000000" w:rsidR="00000000" w:rsidRPr="00000000">
        <w:rPr>
          <w:rtl w:val="0"/>
        </w:rPr>
        <w:t xml:space="preserve">Several critical vulnerabilities have been identified within the existing security environment (NIST, 2020, p. 238). The absence of network segmentation allows for unrestricted lateral movement should any endpoint become compromised. Access controls are weak, with excessive privileges granted to users and administrators, and there is no implementation of multi-factor authentication or centralized identity management. Endpoint security is insufficient, as many systems run outdated operating systems, lack full-disk encryption, and permit unrestricted use of removable media. Sensitive business and customer data are stored unencrypted, and the co-location of the database and web server exposes both to increased risk. The organization lacks a formal approach to managing cloud and third-party risks, resulting in shadow IT and unmanaged SaaS usage. Monitoring and incident response capabilities are limited, with no centralized logging, security information and event management (SIEM), or formal incident response plan in place. Physical security is also lacking, with shared access to critical infrastructure and no mechanisms for monitoring or auditing entry.</w:t>
      </w:r>
    </w:p>
    <w:p w:rsidR="00000000" w:rsidDel="00000000" w:rsidP="00000000" w:rsidRDefault="00000000" w:rsidRPr="00000000" w14:paraId="00000029">
      <w:pPr>
        <w:pStyle w:val="Heading3"/>
        <w:rPr/>
      </w:pPr>
      <w:bookmarkStart w:colFirst="0" w:colLast="0" w:name="_9ulsteuap4u" w:id="12"/>
      <w:bookmarkEnd w:id="12"/>
      <w:r w:rsidDel="00000000" w:rsidR="00000000" w:rsidRPr="00000000">
        <w:rPr>
          <w:rtl w:val="0"/>
        </w:rPr>
        <w:t xml:space="preserve">Risks to Business Operations</w:t>
      </w:r>
    </w:p>
    <w:p w:rsidR="00000000" w:rsidDel="00000000" w:rsidP="00000000" w:rsidRDefault="00000000" w:rsidRPr="00000000" w14:paraId="0000002A">
      <w:pPr>
        <w:rPr/>
      </w:pPr>
      <w:r w:rsidDel="00000000" w:rsidR="00000000" w:rsidRPr="00000000">
        <w:rPr>
          <w:rtl w:val="0"/>
        </w:rPr>
        <w:t xml:space="preserve">The current security posture exposes the organization to several significant risks. The lack of network segmentation and weak access controls heighten the possibility of unauthorized access to sensitive customer and business data, increasing the likelihood of a data breach (NIST, 2020, p. 18–332). Outdated systems and insufficient endpoint protections make the organization vulnerable to ransomware and other forms of malware, which could disrupt operations and result in data loss. The absence of encryption, robust access management, and auditability means the organization is not compliant with regulatory standards such as PCI DSS (Payment Card Industry Security Standards Council, 2022) and data privacy laws, potentially leading to legal and financial penalties. Furthermore, the lack of a tested incident response or disaster recovery plan increases the risk of prolonged service disruptions in the event of a cyberattack or hardware failure. Finally, excessive user privileges and inadequate monitoring create an environment susceptible to insider threats, whether intentional or accidental. the current state was mapped to NIST control families as a foundation for gap analysis (NIST, 2020, p. 8).</w:t>
      </w:r>
    </w:p>
    <w:p w:rsidR="00000000" w:rsidDel="00000000" w:rsidP="00000000" w:rsidRDefault="00000000" w:rsidRPr="00000000" w14:paraId="0000002B">
      <w:pPr>
        <w:pStyle w:val="Heading2"/>
        <w:rPr/>
      </w:pPr>
      <w:bookmarkStart w:colFirst="0" w:colLast="0" w:name="_fiefw4ocwlmx" w:id="13"/>
      <w:bookmarkEnd w:id="13"/>
      <w:r w:rsidDel="00000000" w:rsidR="00000000" w:rsidRPr="00000000">
        <w:rPr>
          <w:rtl w:val="0"/>
        </w:rPr>
        <w:t xml:space="preserve">Security Architecture Goals</w:t>
      </w:r>
    </w:p>
    <w:p w:rsidR="00000000" w:rsidDel="00000000" w:rsidP="00000000" w:rsidRDefault="00000000" w:rsidRPr="00000000" w14:paraId="0000002C">
      <w:pPr>
        <w:pStyle w:val="Heading3"/>
        <w:rPr/>
      </w:pPr>
      <w:bookmarkStart w:colFirst="0" w:colLast="0" w:name="_idzf9xdu9nkk" w:id="14"/>
      <w:bookmarkEnd w:id="14"/>
      <w:r w:rsidDel="00000000" w:rsidR="00000000" w:rsidRPr="00000000">
        <w:rPr>
          <w:rtl w:val="0"/>
        </w:rPr>
        <w:t xml:space="preserve">Business Requirements</w:t>
      </w:r>
    </w:p>
    <w:p w:rsidR="00000000" w:rsidDel="00000000" w:rsidP="00000000" w:rsidRDefault="00000000" w:rsidRPr="00000000" w14:paraId="0000002D">
      <w:pPr>
        <w:rPr/>
      </w:pPr>
      <w:r w:rsidDel="00000000" w:rsidR="00000000" w:rsidRPr="00000000">
        <w:rPr>
          <w:rtl w:val="0"/>
        </w:rPr>
        <w:t xml:space="preserve">The security architecture must align with the organization’s core business objectives, which center on delivering reliable and secure e-commerce services to customers. Ensuring the confidentiality, integrity, and availability of customer data and business information is paramount to maintaining customer trust and supporting the company’s reputation </w:t>
      </w:r>
      <w:r w:rsidDel="00000000" w:rsidR="00000000" w:rsidRPr="00000000">
        <w:rPr>
          <w:sz w:val="24"/>
          <w:szCs w:val="24"/>
          <w:rtl w:val="0"/>
        </w:rPr>
        <w:t xml:space="preserve">(NIST, 2020, p. 1)</w:t>
      </w:r>
      <w:r w:rsidDel="00000000" w:rsidR="00000000" w:rsidRPr="00000000">
        <w:rPr>
          <w:rtl w:val="0"/>
        </w:rPr>
        <w:t xml:space="preserve">. The architecture must also provide resilience against service disruptions, whether caused by cyberattacks or technical failures, to ensure consistent uptime for online sales and operations. As the business continues to grow, the security design must support scalability, allowing for the seamless integration of new services, technologies, or third-party partnerships without compromising the overall security posture (NIST, 2020, p. 14–15, 238).</w:t>
      </w:r>
    </w:p>
    <w:p w:rsidR="00000000" w:rsidDel="00000000" w:rsidP="00000000" w:rsidRDefault="00000000" w:rsidRPr="00000000" w14:paraId="0000002E">
      <w:pPr>
        <w:pStyle w:val="Heading3"/>
        <w:rPr/>
      </w:pPr>
      <w:bookmarkStart w:colFirst="0" w:colLast="0" w:name="_26yj83nt4qur" w:id="15"/>
      <w:bookmarkEnd w:id="15"/>
      <w:r w:rsidDel="00000000" w:rsidR="00000000" w:rsidRPr="00000000">
        <w:rPr>
          <w:rtl w:val="0"/>
        </w:rPr>
        <w:t xml:space="preserve">Compliance Considerations</w:t>
      </w:r>
    </w:p>
    <w:p w:rsidR="00000000" w:rsidDel="00000000" w:rsidP="00000000" w:rsidRDefault="00000000" w:rsidRPr="00000000" w14:paraId="0000002F">
      <w:pPr>
        <w:rPr/>
      </w:pPr>
      <w:r w:rsidDel="00000000" w:rsidR="00000000" w:rsidRPr="00000000">
        <w:rPr>
          <w:rtl w:val="0"/>
        </w:rPr>
        <w:t xml:space="preserve">Regulatory compliance is a key driver for the security architecture. The organization is subject to the Payment Card Industry Data Security Standard (PCI DSS) due to its handling of payment card information, as well as relevant data privacy laws such as the General Data Protection Regulation (GDPR) or the California Consumer Privacy Act (CCPA), depending on the geographic location of its customers. To address these obligations, the security architecture must incorporate controls for data protection, access management, auditability, and incident response (NIST, 2020). Adherence to these standards not only reduces legal and financial risks but also demonstrates a commitment to responsible data stewardship to customers and business partners.</w:t>
      </w:r>
    </w:p>
    <w:p w:rsidR="00000000" w:rsidDel="00000000" w:rsidP="00000000" w:rsidRDefault="00000000" w:rsidRPr="00000000" w14:paraId="00000030">
      <w:pPr>
        <w:pStyle w:val="Heading3"/>
        <w:rPr/>
      </w:pPr>
      <w:bookmarkStart w:colFirst="0" w:colLast="0" w:name="_6dtchncba3ah" w:id="16"/>
      <w:bookmarkEnd w:id="16"/>
      <w:r w:rsidDel="00000000" w:rsidR="00000000" w:rsidRPr="00000000">
        <w:rPr>
          <w:rtl w:val="0"/>
        </w:rPr>
        <w:t xml:space="preserve">Future Growth and Adaptability</w:t>
      </w:r>
    </w:p>
    <w:p w:rsidR="00000000" w:rsidDel="00000000" w:rsidP="00000000" w:rsidRDefault="00000000" w:rsidRPr="00000000" w14:paraId="00000031">
      <w:pPr>
        <w:rPr/>
      </w:pPr>
      <w:r w:rsidDel="00000000" w:rsidR="00000000" w:rsidRPr="00000000">
        <w:rPr>
          <w:rtl w:val="0"/>
        </w:rPr>
        <w:t xml:space="preserve">Looking forward, the security architecture must be designed to accommodate business expansion and technological change. This includes supporting cloud migration, increased reliance on third-party vendors, and the adoption of new digital channels for customer engagement. The architecture should be modular and flexible, enabling the organization to quickly adapt to evolving threats, regulatory changes, or shifts in business strategy. Continuous monitoring, regular risk assessments, and a proactive approach to emerging technologies will ensure that security controls remain effective and relevant as the organization evolves </w:t>
      </w:r>
      <w:r w:rsidDel="00000000" w:rsidR="00000000" w:rsidRPr="00000000">
        <w:rPr>
          <w:sz w:val="24"/>
          <w:szCs w:val="24"/>
          <w:rtl w:val="0"/>
        </w:rPr>
        <w:t xml:space="preserve">(NIST, 2020, p. 83–95)</w:t>
      </w:r>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nqi7z6i1is25" w:id="17"/>
      <w:bookmarkEnd w:id="17"/>
      <w:r w:rsidDel="00000000" w:rsidR="00000000" w:rsidRPr="00000000">
        <w:rPr>
          <w:rtl w:val="0"/>
        </w:rPr>
        <w:t xml:space="preserve">Security Architecture Recommendations</w:t>
      </w:r>
    </w:p>
    <w:p w:rsidR="00000000" w:rsidDel="00000000" w:rsidP="00000000" w:rsidRDefault="00000000" w:rsidRPr="00000000" w14:paraId="00000033">
      <w:pPr>
        <w:pStyle w:val="Heading3"/>
        <w:rPr/>
      </w:pPr>
      <w:bookmarkStart w:colFirst="0" w:colLast="0" w:name="_ee5mf29h9vxt" w:id="18"/>
      <w:bookmarkEnd w:id="18"/>
      <w:r w:rsidDel="00000000" w:rsidR="00000000" w:rsidRPr="00000000">
        <w:rPr>
          <w:rtl w:val="0"/>
        </w:rPr>
        <w:t xml:space="preserve">Network Security</w:t>
      </w:r>
    </w:p>
    <w:p w:rsidR="00000000" w:rsidDel="00000000" w:rsidP="00000000" w:rsidRDefault="00000000" w:rsidRPr="00000000" w14:paraId="00000034">
      <w:pPr>
        <w:rPr/>
      </w:pPr>
      <w:r w:rsidDel="00000000" w:rsidR="00000000" w:rsidRPr="00000000">
        <w:rPr>
          <w:rtl w:val="0"/>
        </w:rPr>
        <w:t xml:space="preserve">To address the risks associated with a flat network topology, it is recommended to implement robust network segmentation. This should include the creation of separate VLANs or network zones for public-facing systems, internal servers, employee workstations, and IoT devices. Deploying next-generation firewalls with intrusion detection and prevention capabilities at network boundaries will help monitor and control traffic between segments. Secure remote access should be enforced through VPN solutions with strong encryption and multi-factor authentication. Regular network vulnerability assessments and internal penetration testing are also advised to identify and remediate weaknesses proactively (NIST, 2020, p. 292–331).</w:t>
      </w:r>
    </w:p>
    <w:p w:rsidR="00000000" w:rsidDel="00000000" w:rsidP="00000000" w:rsidRDefault="00000000" w:rsidRPr="00000000" w14:paraId="00000035">
      <w:pPr>
        <w:pStyle w:val="Heading3"/>
        <w:rPr/>
      </w:pPr>
      <w:bookmarkStart w:colFirst="0" w:colLast="0" w:name="_7d14pta7b812" w:id="19"/>
      <w:bookmarkEnd w:id="19"/>
      <w:r w:rsidDel="00000000" w:rsidR="00000000" w:rsidRPr="00000000">
        <w:rPr>
          <w:rtl w:val="0"/>
        </w:rPr>
        <w:t xml:space="preserve">Data Security</w:t>
      </w:r>
    </w:p>
    <w:p w:rsidR="00000000" w:rsidDel="00000000" w:rsidP="00000000" w:rsidRDefault="00000000" w:rsidRPr="00000000" w14:paraId="00000036">
      <w:pPr>
        <w:rPr/>
      </w:pPr>
      <w:r w:rsidDel="00000000" w:rsidR="00000000" w:rsidRPr="00000000">
        <w:rPr>
          <w:rtl w:val="0"/>
        </w:rPr>
        <w:t xml:space="preserve">Sensitive data, particularly payment card and customer information, should be encrypted both at rest and in transit using industry-standard algorithms (NIST, 2020, p. 229–237). Database servers must be separated from web servers and placed in restricted network segments, with access tightly controlled through role-based permissions. Regular data backups should be performed, encrypted, and stored offsite or in secure cloud environments, with periodic restoration tests to verify integrity. Data retention policies should be established to minimize unnecessary storage of personal or business-critical information, in line with regulatory requirements (NIST, 2020, p. 171–178).</w:t>
      </w:r>
    </w:p>
    <w:p w:rsidR="00000000" w:rsidDel="00000000" w:rsidP="00000000" w:rsidRDefault="00000000" w:rsidRPr="00000000" w14:paraId="00000037">
      <w:pPr>
        <w:pStyle w:val="Heading3"/>
        <w:rPr/>
      </w:pPr>
      <w:bookmarkStart w:colFirst="0" w:colLast="0" w:name="_b1thk9zbjqb2" w:id="20"/>
      <w:bookmarkEnd w:id="20"/>
      <w:r w:rsidDel="00000000" w:rsidR="00000000" w:rsidRPr="00000000">
        <w:rPr>
          <w:rtl w:val="0"/>
        </w:rPr>
        <w:t xml:space="preserve">Endpoint Security</w:t>
      </w:r>
    </w:p>
    <w:p w:rsidR="00000000" w:rsidDel="00000000" w:rsidP="00000000" w:rsidRDefault="00000000" w:rsidRPr="00000000" w14:paraId="00000038">
      <w:pPr>
        <w:rPr/>
      </w:pPr>
      <w:r w:rsidDel="00000000" w:rsidR="00000000" w:rsidRPr="00000000">
        <w:rPr>
          <w:rtl w:val="0"/>
        </w:rPr>
        <w:t xml:space="preserve">All endpoints, including workstations, laptops, and mobile devices, should be managed through a centralized endpoint management solution. This enables automated patch management, application whitelisting, and the enforcement of device encryption. Endpoint detection and response (EDR) tools should be deployed to monitor for malicious activity and support rapid incident response. Local administrative privileges should be removed from standard user accounts, and policies should restrict the use of removable media to reduce the risk of malware introduction (NIST, 2020, p. 96–114, 332–362).</w:t>
      </w:r>
    </w:p>
    <w:p w:rsidR="00000000" w:rsidDel="00000000" w:rsidP="00000000" w:rsidRDefault="00000000" w:rsidRPr="00000000" w14:paraId="00000039">
      <w:pPr>
        <w:pStyle w:val="Heading3"/>
        <w:rPr/>
      </w:pPr>
      <w:bookmarkStart w:colFirst="0" w:colLast="0" w:name="_3xaefz4c7bpa" w:id="21"/>
      <w:bookmarkEnd w:id="21"/>
      <w:r w:rsidDel="00000000" w:rsidR="00000000" w:rsidRPr="00000000">
        <w:rPr>
          <w:rtl w:val="0"/>
        </w:rPr>
        <w:t xml:space="preserve">Identity and Access Management (IAM)</w:t>
      </w:r>
    </w:p>
    <w:p w:rsidR="00000000" w:rsidDel="00000000" w:rsidP="00000000" w:rsidRDefault="00000000" w:rsidRPr="00000000" w14:paraId="0000003A">
      <w:pPr>
        <w:rPr/>
      </w:pPr>
      <w:r w:rsidDel="00000000" w:rsidR="00000000" w:rsidRPr="00000000">
        <w:rPr>
          <w:rtl w:val="0"/>
        </w:rPr>
        <w:t xml:space="preserve">A comprehensive IAM program should be established, enforcing the principle of least privilege and implementing multi-factor authentication for all users, especially those with access to sensitive systems or data. Centralized identity management, such as directory services with single sign-on (SSO), will streamline access control and facilitate timely deprovisioning of accounts. Regular access reviews and audits should be conducted to ensure that permissions remain appropriate and that dormant or unnecessary accounts are promptly removed (NIST, 2020, p. 18–58, 131–148).</w:t>
      </w:r>
    </w:p>
    <w:p w:rsidR="00000000" w:rsidDel="00000000" w:rsidP="00000000" w:rsidRDefault="00000000" w:rsidRPr="00000000" w14:paraId="0000003B">
      <w:pPr>
        <w:pStyle w:val="Heading3"/>
        <w:rPr/>
      </w:pPr>
      <w:bookmarkStart w:colFirst="0" w:colLast="0" w:name="_wt3r62ksiv7p" w:id="22"/>
      <w:bookmarkEnd w:id="22"/>
      <w:r w:rsidDel="00000000" w:rsidR="00000000" w:rsidRPr="00000000">
        <w:rPr>
          <w:rtl w:val="0"/>
        </w:rPr>
        <w:t xml:space="preserve">Cloud Security</w:t>
      </w:r>
    </w:p>
    <w:p w:rsidR="00000000" w:rsidDel="00000000" w:rsidP="00000000" w:rsidRDefault="00000000" w:rsidRPr="00000000" w14:paraId="0000003C">
      <w:pPr>
        <w:rPr/>
      </w:pPr>
      <w:r w:rsidDel="00000000" w:rsidR="00000000" w:rsidRPr="00000000">
        <w:rPr>
          <w:rtl w:val="0"/>
        </w:rPr>
        <w:t xml:space="preserve">Cloud services must be configured following security best practices, including the use of strong authentication, encryption, and regular access reviews. All cloud assets should be inventoried and monitored for misconfigurations or unauthorized changes. Data stored in the cloud should be encrypted, and contracts with cloud service providers should include requirements for security controls, incident notification, and compliance with relevant regulations. Shadow IT risks should be mitigated through user education and technical controls that restrict unsanctioned cloud usage (NIST, 2020, p. 249–291, 363–373).</w:t>
      </w:r>
    </w:p>
    <w:p w:rsidR="00000000" w:rsidDel="00000000" w:rsidP="00000000" w:rsidRDefault="00000000" w:rsidRPr="00000000" w14:paraId="0000003D">
      <w:pPr>
        <w:pStyle w:val="Heading3"/>
        <w:rPr/>
      </w:pPr>
      <w:bookmarkStart w:colFirst="0" w:colLast="0" w:name="_5tfkzr71v3ti" w:id="23"/>
      <w:bookmarkEnd w:id="23"/>
      <w:r w:rsidDel="00000000" w:rsidR="00000000" w:rsidRPr="00000000">
        <w:rPr>
          <w:rtl w:val="0"/>
        </w:rPr>
        <w:t xml:space="preserve">Incident Response</w:t>
      </w:r>
    </w:p>
    <w:p w:rsidR="00000000" w:rsidDel="00000000" w:rsidP="00000000" w:rsidRDefault="00000000" w:rsidRPr="00000000" w14:paraId="0000003E">
      <w:pPr>
        <w:rPr/>
      </w:pPr>
      <w:r w:rsidDel="00000000" w:rsidR="00000000" w:rsidRPr="00000000">
        <w:rPr>
          <w:rtl w:val="0"/>
        </w:rPr>
        <w:t xml:space="preserve">A formal incident response plan should be developed, documented, and routinely tested through tabletop exercises and simulated security events. The plan must define clear roles, communication protocols, and escalation paths for various types of incidents. Security information and event management (SIEM) solutions should be deployed to aggregate and analyze logs from critical systems, enabling timely detection and response to security events. All incidents should be reviewed post-mortem to identify root causes and drive continuous improvement (NIST, 2020, p. 149–161).</w:t>
      </w:r>
    </w:p>
    <w:p w:rsidR="00000000" w:rsidDel="00000000" w:rsidP="00000000" w:rsidRDefault="00000000" w:rsidRPr="00000000" w14:paraId="0000003F">
      <w:pPr>
        <w:pStyle w:val="Heading3"/>
        <w:rPr/>
      </w:pPr>
      <w:bookmarkStart w:colFirst="0" w:colLast="0" w:name="_i2vjrp7ythyb" w:id="24"/>
      <w:bookmarkEnd w:id="24"/>
      <w:r w:rsidDel="00000000" w:rsidR="00000000" w:rsidRPr="00000000">
        <w:rPr>
          <w:rtl w:val="0"/>
        </w:rPr>
        <w:t xml:space="preserve">Physical Security</w:t>
      </w:r>
    </w:p>
    <w:p w:rsidR="00000000" w:rsidDel="00000000" w:rsidP="00000000" w:rsidRDefault="00000000" w:rsidRPr="00000000" w14:paraId="00000040">
      <w:pPr>
        <w:rPr/>
      </w:pPr>
      <w:r w:rsidDel="00000000" w:rsidR="00000000" w:rsidRPr="00000000">
        <w:rPr>
          <w:rtl w:val="0"/>
        </w:rPr>
        <w:t xml:space="preserve">Physical access to critical infrastructure such as server rooms and network closets should be restricted to authorized personnel only, using badge access systems and video surveillance. All access events should be logged and periodically reviewed. Visitors should be escorted and their access strictly controlled. Environmental controls, such as fire suppression and uninterruptible power supplies, should be maintained to protect hardware from physical threats (NIST, 2020, p. 179–193).</w:t>
      </w:r>
    </w:p>
    <w:p w:rsidR="00000000" w:rsidDel="00000000" w:rsidP="00000000" w:rsidRDefault="00000000" w:rsidRPr="00000000" w14:paraId="00000041">
      <w:pPr>
        <w:pStyle w:val="Heading2"/>
        <w:rPr/>
      </w:pPr>
      <w:bookmarkStart w:colFirst="0" w:colLast="0" w:name="_l0xm10y2f9p4" w:id="25"/>
      <w:bookmarkEnd w:id="25"/>
      <w:r w:rsidDel="00000000" w:rsidR="00000000" w:rsidRPr="00000000">
        <w:rPr>
          <w:rtl w:val="0"/>
        </w:rPr>
        <w:t xml:space="preserve">Implementation Strategy</w:t>
      </w:r>
    </w:p>
    <w:p w:rsidR="00000000" w:rsidDel="00000000" w:rsidP="00000000" w:rsidRDefault="00000000" w:rsidRPr="00000000" w14:paraId="00000042">
      <w:pPr>
        <w:pStyle w:val="Heading3"/>
        <w:rPr/>
      </w:pPr>
      <w:bookmarkStart w:colFirst="0" w:colLast="0" w:name="_gsx2wnew1qdy" w:id="26"/>
      <w:bookmarkEnd w:id="26"/>
      <w:r w:rsidDel="00000000" w:rsidR="00000000" w:rsidRPr="00000000">
        <w:rPr>
          <w:rtl w:val="0"/>
        </w:rPr>
        <w:t xml:space="preserve">Phase 1: Immediate Actions (0–3 months)</w:t>
      </w:r>
    </w:p>
    <w:p w:rsidR="00000000" w:rsidDel="00000000" w:rsidP="00000000" w:rsidRDefault="00000000" w:rsidRPr="00000000" w14:paraId="00000043">
      <w:pPr>
        <w:rPr/>
      </w:pPr>
      <w:r w:rsidDel="00000000" w:rsidR="00000000" w:rsidRPr="00000000">
        <w:rPr>
          <w:rtl w:val="0"/>
        </w:rPr>
        <w:t xml:space="preserve">The initial phase focuses on mitigating the most critical risks to business operations and regulatory compliance (NIST, 2020, pp. 83–95, 204–221). Key actions include implementing network segmentation to separate public-facing systems, internal servers, and employee devices; deploying multi-factor authentication for all privileged and remote access; and enforcing strong password policies across the organization. Endpoint protection should be enhanced by rolling out centralized patch management and enabling full-disk encryption on all portable devices. Additionally, a formal incident response plan should be developed, and basic SIEM or centralized logging capabilities should be established to improve visibility and response to security events.</w:t>
      </w:r>
    </w:p>
    <w:p w:rsidR="00000000" w:rsidDel="00000000" w:rsidP="00000000" w:rsidRDefault="00000000" w:rsidRPr="00000000" w14:paraId="00000044">
      <w:pPr>
        <w:pStyle w:val="Heading3"/>
        <w:rPr/>
      </w:pPr>
      <w:bookmarkStart w:colFirst="0" w:colLast="0" w:name="_lhbjrejn9z1h" w:id="27"/>
      <w:bookmarkEnd w:id="27"/>
      <w:r w:rsidDel="00000000" w:rsidR="00000000" w:rsidRPr="00000000">
        <w:rPr>
          <w:rtl w:val="0"/>
        </w:rPr>
        <w:t xml:space="preserve">Phase 2: Intermediate Enhancements (3–9 months)</w:t>
      </w:r>
    </w:p>
    <w:p w:rsidR="00000000" w:rsidDel="00000000" w:rsidP="00000000" w:rsidRDefault="00000000" w:rsidRPr="00000000" w14:paraId="00000045">
      <w:pPr>
        <w:rPr/>
      </w:pPr>
      <w:r w:rsidDel="00000000" w:rsidR="00000000" w:rsidRPr="00000000">
        <w:rPr>
          <w:rtl w:val="0"/>
        </w:rPr>
        <w:t xml:space="preserve">The second phase builds on the foundational controls established in Phase 1 by expanding security monitoring and refining access management (NIST, 2020, pp. 83–95, 204–221). This includes deploying endpoint detection and response (EDR) solutions, conducting regular vulnerability assessments, and automating backup processes with encryption and integrity checks. Cloud security should be strengthened by inventorying all cloud assets, implementing secure configuration baselines, and conducting periodic access reviews. The organization should also formalize vendor risk management procedures (NIST, 2020, p. 2–4) and begin regular security awareness training for all staff.</w:t>
      </w:r>
    </w:p>
    <w:p w:rsidR="00000000" w:rsidDel="00000000" w:rsidP="00000000" w:rsidRDefault="00000000" w:rsidRPr="00000000" w14:paraId="00000046">
      <w:pPr>
        <w:pStyle w:val="Heading3"/>
        <w:rPr/>
      </w:pPr>
      <w:bookmarkStart w:colFirst="0" w:colLast="0" w:name="_64f58o8c51h7" w:id="28"/>
      <w:bookmarkEnd w:id="28"/>
      <w:r w:rsidDel="00000000" w:rsidR="00000000" w:rsidRPr="00000000">
        <w:rPr>
          <w:rtl w:val="0"/>
        </w:rPr>
        <w:t xml:space="preserve">Phase 3: Long-Term Maturation (9–18 months)</w:t>
      </w:r>
    </w:p>
    <w:p w:rsidR="00000000" w:rsidDel="00000000" w:rsidP="00000000" w:rsidRDefault="00000000" w:rsidRPr="00000000" w14:paraId="00000047">
      <w:pPr>
        <w:rPr/>
      </w:pPr>
      <w:r w:rsidDel="00000000" w:rsidR="00000000" w:rsidRPr="00000000">
        <w:rPr>
          <w:rtl w:val="0"/>
        </w:rPr>
        <w:t xml:space="preserve">The final phase aims to mature the security program and embed continuous improvement practices (NIST, 2020, pp. 203–221). Advanced security controls such as data loss prevention (DLP), network intrusion prevention systems (IPS), and automated incident response playbooks should be implemented. The organization should conduct annual tabletop exercises to test incident response and disaster recovery plans, and establish a schedule for regular policy and control reviews. Ongoing investment in staff training and security culture, along with periodic third-party assessments, will ensure that the security architecture remains effective and responsive to evolving threats and business needs.</w:t>
      </w:r>
    </w:p>
    <w:p w:rsidR="00000000" w:rsidDel="00000000" w:rsidP="00000000" w:rsidRDefault="00000000" w:rsidRPr="00000000" w14:paraId="00000048">
      <w:pPr>
        <w:pStyle w:val="Heading3"/>
        <w:rPr/>
      </w:pPr>
      <w:bookmarkStart w:colFirst="0" w:colLast="0" w:name="_lr3kmmpcbhew" w:id="29"/>
      <w:bookmarkEnd w:id="29"/>
      <w:r w:rsidDel="00000000" w:rsidR="00000000" w:rsidRPr="00000000">
        <w:rPr>
          <w:rtl w:val="0"/>
        </w:rPr>
        <w:t xml:space="preserve">Resource Requirements</w:t>
      </w:r>
    </w:p>
    <w:p w:rsidR="00000000" w:rsidDel="00000000" w:rsidP="00000000" w:rsidRDefault="00000000" w:rsidRPr="00000000" w14:paraId="00000049">
      <w:pPr>
        <w:rPr/>
      </w:pPr>
      <w:r w:rsidDel="00000000" w:rsidR="00000000" w:rsidRPr="00000000">
        <w:rPr>
          <w:rtl w:val="0"/>
        </w:rPr>
        <w:t xml:space="preserve">Successful implementation will require dedicated personnel for IT and security operations, investment in security tools (such as firewalls, EDR, SIEM, and backup solutions), and budget for staff training and third-party assessments. Leadership support and clear assignment of responsibilities are essential to maintain momentum and accountability throughout each phase.</w:t>
      </w:r>
    </w:p>
    <w:p w:rsidR="00000000" w:rsidDel="00000000" w:rsidP="00000000" w:rsidRDefault="00000000" w:rsidRPr="00000000" w14:paraId="0000004A">
      <w:pPr>
        <w:pStyle w:val="Heading3"/>
        <w:rPr/>
      </w:pPr>
      <w:bookmarkStart w:colFirst="0" w:colLast="0" w:name="_unvfgbqdap9r" w:id="30"/>
      <w:bookmarkEnd w:id="30"/>
      <w:r w:rsidDel="00000000" w:rsidR="00000000" w:rsidRPr="00000000">
        <w:rPr>
          <w:rtl w:val="0"/>
        </w:rPr>
        <w:t xml:space="preserve">Timelines and Milestones</w:t>
      </w:r>
    </w:p>
    <w:p w:rsidR="00000000" w:rsidDel="00000000" w:rsidP="00000000" w:rsidRDefault="00000000" w:rsidRPr="00000000" w14:paraId="0000004B">
      <w:pPr>
        <w:rPr/>
      </w:pPr>
      <w:r w:rsidDel="00000000" w:rsidR="00000000" w:rsidRPr="00000000">
        <w:rPr>
          <w:rtl w:val="0"/>
        </w:rPr>
        <w:t xml:space="preserve">A high-level timeline should be established, with clear milestones for the completion of each phase. Progress should be tracked through regular project meetings and status reports to leadership. Immediate actions should be prioritized for completion within the first quarter, with intermediate enhancements targeted for the following two quarters, and long-term maturation efforts scheduled for completion within 12 to 18 months.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7n9i7oqhznzc" w:id="31"/>
      <w:bookmarkEnd w:id="3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adeh3ck9vgkx" w:id="32"/>
      <w:bookmarkEnd w:id="32"/>
      <w:r w:rsidDel="00000000" w:rsidR="00000000" w:rsidRPr="00000000">
        <w:rPr>
          <w:rtl w:val="0"/>
        </w:rPr>
        <w:t xml:space="preserve">References</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National Institute of Standards and Technology. (2020). Security and Privacy Controls for Information Systems and Organizations (NIST Special Publication 800-53, Revision 5). </w:t>
      </w:r>
      <w:hyperlink r:id="rId8">
        <w:r w:rsidDel="00000000" w:rsidR="00000000" w:rsidRPr="00000000">
          <w:rPr>
            <w:color w:val="1155cc"/>
            <w:u w:val="single"/>
            <w:rtl w:val="0"/>
          </w:rPr>
          <w:t xml:space="preserve">https://doi.org/10.6028/NIST.SP.800-53r5</w:t>
        </w:r>
      </w:hyperlink>
      <w:r w:rsidDel="00000000" w:rsidR="00000000" w:rsidRPr="00000000">
        <w:rPr>
          <w:rtl w:val="0"/>
        </w:rPr>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Payment Card Industry Security Standards Council. (2022). Payment Card Industry Data Security Standard: Requirements and Security Assessment Procedures (Version 4.0).</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European Union. (2016). Regulation (EU) 2016/679 (General Data Protection Regulation).</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t xml:space="preserve">W26D3 - Secure Architecture Report</w:t>
    </w:r>
    <w:r w:rsidDel="00000000" w:rsidR="00000000" w:rsidRPr="00000000">
      <w:rPr>
        <w:rtl w:val="0"/>
      </w:rPr>
    </w:r>
  </w:p>
  <w:p w:rsidR="00000000" w:rsidDel="00000000" w:rsidP="00000000" w:rsidRDefault="00000000" w:rsidRPr="00000000" w14:paraId="0000005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doi.org/10.6028/NIST.SP.800-53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