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Backup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15371031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zhdre960pm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mx76yse38n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4u6f0n49mg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rmblbvf43v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lcz17stqsc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Policy Statement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gzwoj4m2v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Responsibilities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sncwd73cvg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Compliance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1i34kgfqa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Review and Approval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qzhdre960pmj" w:id="7"/>
      <w:bookmarkEnd w:id="7"/>
      <w:r w:rsidDel="00000000" w:rsidR="00000000" w:rsidRPr="00000000">
        <w:rPr>
          <w:rtl w:val="0"/>
        </w:rPr>
        <w:t xml:space="preserve">Policy 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Backup Policy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cmx76yse38ni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TLP: Green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r4u6f0n49mgo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policy ensures that BC Ferries’ critical systems and data are regularly backed up to enable recovery in case of ransomware attacks, system failures, or disasters.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1rmblbvf43v1" w:id="10"/>
      <w:bookmarkEnd w:id="1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All critical systems, including ticketing platforms, OT systems, and customer databases.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Onsite and offsite backup solutions.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clcz17stqsc0" w:id="11"/>
      <w:bookmarkEnd w:id="11"/>
      <w:r w:rsidDel="00000000" w:rsidR="00000000" w:rsidRPr="00000000">
        <w:rPr>
          <w:rtl w:val="0"/>
        </w:rPr>
        <w:t xml:space="preserve">Policy Statement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Frequency: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Nightly backups for critical systems; full backups weekly.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Locations: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Backups stored onsite and offsite; at least one offline copy required.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Quarterly restoration tests ensure data integrity.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Backup systems restricted to authorized personnel with MFA enabled.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Retention Periods: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 backups retained for seven days; weekly backups retained for four weeks; monthly backups retained for one year (Cybersecurity and Infrastructure Security Agency [CISA], 2021)..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6ygzwoj4m2vj" w:id="12"/>
      <w:bookmarkEnd w:id="12"/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IT Department: Manage backup processes and conduct tests.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600" w:hanging="360"/>
      </w:pPr>
      <w:r w:rsidDel="00000000" w:rsidR="00000000" w:rsidRPr="00000000">
        <w:rPr>
          <w:rtl w:val="0"/>
        </w:rPr>
        <w:t xml:space="preserve">Data Owners: Identify critical systems requiring backups.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after="240" w:before="240" w:line="240" w:lineRule="auto"/>
        <w:rPr/>
      </w:pPr>
      <w:bookmarkStart w:colFirst="0" w:colLast="0" w:name="_vsncwd73cvg3" w:id="13"/>
      <w:bookmarkEnd w:id="13"/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Non-compliance may lead to disciplinary actions or regulatory fines under PIPEDA (Office of the Privacy Commissioner of Canada [PIPEDA], 2000).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240" w:before="0" w:line="240" w:lineRule="auto"/>
        <w:rPr/>
      </w:pPr>
      <w:bookmarkStart w:colFirst="0" w:colLast="0" w:name="_g1i34kgfqa74" w:id="14"/>
      <w:bookmarkEnd w:id="14"/>
      <w:r w:rsidDel="00000000" w:rsidR="00000000" w:rsidRPr="00000000">
        <w:rPr>
          <w:rtl w:val="0"/>
        </w:rPr>
        <w:t xml:space="preserve">Review and Approval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policy will be reviewed annually by the IT Security Team. Updates must be approved by the CISO.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Last Reviewed: February 25, 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Next Review Date: February 25,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Approved by: Chief Information Security Officer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kg84jd4b4kr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adeh3ck9vgkx" w:id="16"/>
      <w:bookmarkEnd w:id="16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National Institute of Standards and Technology. (2012). Computer security incident handling guide (SP 800-61 Rev. 2).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https://doi.org/10.6028/NIST.SP.800-61r2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Office of the Privacy Commissioner of Canada (PIPEDA). (2000). Personal Information Protection and Electronic Documents Act.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https://www.priv.gc.ca/en/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b w:val="1"/>
      </w:rPr>
    </w:pPr>
    <w:r w:rsidDel="00000000" w:rsidR="00000000" w:rsidRPr="00000000">
      <w:rPr>
        <w:rtl w:val="0"/>
      </w:rPr>
      <w:t xml:space="preserve">W16D2 - Backup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iv.gc.ca/en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doi.org/10.6028/NIST.SP.800-61r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