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Procedure for Data Access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1933697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7lmxvtvm8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Procedure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a4aur0yte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tk5bzbhffv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eqe7x3ww7s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after="240" w:line="240" w:lineRule="auto"/>
        <w:rPr/>
      </w:pPr>
      <w:bookmarkStart w:colFirst="0" w:colLast="0" w:name="_3k7lmxvtvm8d" w:id="7"/>
      <w:bookmarkEnd w:id="7"/>
      <w:r w:rsidDel="00000000" w:rsidR="00000000" w:rsidRPr="00000000">
        <w:rPr>
          <w:rtl w:val="0"/>
        </w:rPr>
        <w:t xml:space="preserve">Procedure Title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Managing and Monitoring Data Access</w:t>
      </w:r>
    </w:p>
    <w:p w:rsidR="00000000" w:rsidDel="00000000" w:rsidP="00000000" w:rsidRDefault="00000000" w:rsidRPr="00000000" w14:paraId="00000011">
      <w:pPr>
        <w:pStyle w:val="Heading1"/>
        <w:widowControl w:val="0"/>
        <w:spacing w:after="240" w:line="240" w:lineRule="auto"/>
        <w:rPr/>
      </w:pPr>
      <w:bookmarkStart w:colFirst="0" w:colLast="0" w:name="_xa4aur0yte3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2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TLP: Yellow</w:t>
      </w:r>
    </w:p>
    <w:p w:rsidR="00000000" w:rsidDel="00000000" w:rsidP="00000000" w:rsidRDefault="00000000" w:rsidRPr="00000000" w14:paraId="00000013">
      <w:pPr>
        <w:pStyle w:val="Heading1"/>
        <w:widowControl w:val="0"/>
        <w:spacing w:after="240" w:line="240" w:lineRule="auto"/>
        <w:rPr/>
      </w:pPr>
      <w:bookmarkStart w:colFirst="0" w:colLast="0" w:name="_htk5bzbhffv6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ensure access to sensitive data and systems is restricted to authorized personnel and monitored for suspicious activity, as outlined in the Data Access Policy.</w:t>
      </w:r>
    </w:p>
    <w:p w:rsidR="00000000" w:rsidDel="00000000" w:rsidP="00000000" w:rsidRDefault="00000000" w:rsidRPr="00000000" w14:paraId="00000015">
      <w:pPr>
        <w:pStyle w:val="Heading1"/>
        <w:widowControl w:val="0"/>
        <w:spacing w:after="240" w:line="240" w:lineRule="auto"/>
        <w:rPr/>
      </w:pPr>
      <w:bookmarkStart w:colFirst="0" w:colLast="0" w:name="_xeqe7x3ww7sq" w:id="10"/>
      <w:bookmarkEnd w:id="10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Granting Access: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Employee submits an access request via the IT Service Portal, including justification and details of the system or data needed.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Data Owner reviews the request and approves or denies it based on job function and necessity.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IT Department assigns permissions using Role-Based Access Control (RBAC) principles and enables Multi-Factor Authentication (MFA).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Revoking Access: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HR notifies the IT Department of offboarding employees or contractors at least 24 hours in advance.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IT Department disables user accounts, revokes system access, and logs changes in the access management system.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Conducting Access Audits: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IT Department performs quarterly reviews of user access rights.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Discrepancies (e.g., inactive accounts or excessive permissions) are reported to Data Owners for resolution.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Monitoring Logs: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200" w:hanging="360"/>
      </w:pPr>
      <w:r w:rsidDel="00000000" w:rsidR="00000000" w:rsidRPr="00000000">
        <w:rPr>
          <w:rtl w:val="0"/>
        </w:rPr>
        <w:t xml:space="preserve">Security Analysts review access logs weekly using automated tools (e.g., SIEM).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200" w:hanging="360"/>
      </w:pPr>
      <w:r w:rsidDel="00000000" w:rsidR="00000000" w:rsidRPr="00000000">
        <w:rPr>
          <w:rtl w:val="0"/>
        </w:rPr>
        <w:t xml:space="preserve">Investigate anomalies such as unauthorized after-hours logins or repeated failed login attempts.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Incident Response Activation: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200" w:hanging="360"/>
      </w:pPr>
      <w:r w:rsidDel="00000000" w:rsidR="00000000" w:rsidRPr="00000000">
        <w:rPr>
          <w:rtl w:val="0"/>
        </w:rPr>
        <w:t xml:space="preserve">If unauthorized access is detected, escalate to the Incident Response Manager (IRM) and activate the Incident Response Playbook.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adeh3ck9vgkx" w:id="11"/>
      <w:bookmarkEnd w:id="11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Data Access Policy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b w:val="1"/>
      </w:rPr>
    </w:pPr>
    <w:r w:rsidDel="00000000" w:rsidR="00000000" w:rsidRPr="00000000">
      <w:rPr>
        <w:rtl w:val="0"/>
      </w:rPr>
      <w:t xml:space="preserve">W16D2 - Procedure for Data Access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