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Procedure for Data Retention and Destruction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16110871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7lmxvtvm8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Procedure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a4aur0yte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tk5bzbhffv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ymyxd6stz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spacing w:after="240" w:line="240" w:lineRule="auto"/>
        <w:rPr/>
      </w:pPr>
      <w:bookmarkStart w:colFirst="0" w:colLast="0" w:name="_3k7lmxvtvm8d" w:id="7"/>
      <w:bookmarkEnd w:id="7"/>
      <w:r w:rsidDel="00000000" w:rsidR="00000000" w:rsidRPr="00000000">
        <w:rPr>
          <w:rtl w:val="0"/>
        </w:rPr>
        <w:t xml:space="preserve">Procedure Title</w:t>
      </w:r>
    </w:p>
    <w:p w:rsidR="00000000" w:rsidDel="00000000" w:rsidP="00000000" w:rsidRDefault="00000000" w:rsidRPr="00000000" w14:paraId="00000010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Managing Data Retention and Secure Destruction</w:t>
      </w:r>
    </w:p>
    <w:p w:rsidR="00000000" w:rsidDel="00000000" w:rsidP="00000000" w:rsidRDefault="00000000" w:rsidRPr="00000000" w14:paraId="00000011">
      <w:pPr>
        <w:pStyle w:val="Heading1"/>
        <w:widowControl w:val="0"/>
        <w:spacing w:after="240" w:line="240" w:lineRule="auto"/>
        <w:rPr/>
      </w:pPr>
      <w:bookmarkStart w:colFirst="0" w:colLast="0" w:name="_xa4aur0yte3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TLP: Yellow</w:t>
      </w:r>
    </w:p>
    <w:p w:rsidR="00000000" w:rsidDel="00000000" w:rsidP="00000000" w:rsidRDefault="00000000" w:rsidRPr="00000000" w14:paraId="00000013">
      <w:pPr>
        <w:pStyle w:val="Heading1"/>
        <w:widowControl w:val="0"/>
        <w:spacing w:after="240" w:line="240" w:lineRule="auto"/>
        <w:rPr/>
      </w:pPr>
      <w:bookmarkStart w:colFirst="0" w:colLast="0" w:name="_htk5bzbhffv6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To retain sensitive data only as long as necessary while ensuring secure destruction when no longer needed, as outlined in the Data Retention and Destruction Policy.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ymyxd6stz2u" w:id="10"/>
      <w:bookmarkEnd w:id="10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Classifying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8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Classify data into categories (e.g., Restricted, Confidential, Public) at creation or collection.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8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Assign retention periods based on classification (e.g., customer PII retained for five years).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Storing Data Securely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Encrypt sensitive data at rest using industry-standard protocols.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Restrict access based on job roles using RBAC principles.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Reviewing Retained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5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Conduct annual reviews of stored data to identify records eligible for destruction.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5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Notify relevant departments before initiating destruction processes.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Destroying Data Securely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7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Use file overwriting software for digital records or shredders for paper records.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7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Physically destroy decommissioned storage devices using certified vendors.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Documenting Destruction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3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Maintain a destruction log that includes record type, destruction method, date, and responsible party.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3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Submit logs to Legal Department during compliance reviews.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Incident Response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Preserve logs or records required for forensic analysis during incident investigations before destruction.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xyfuesjkuk3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adeh3ck9vgkx" w:id="12"/>
      <w:bookmarkEnd w:id="12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Data Retention and Destruction Policy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Incident Response Playbook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b w:val="1"/>
      </w:rPr>
    </w:pPr>
    <w:r w:rsidDel="00000000" w:rsidR="00000000" w:rsidRPr="00000000">
      <w:rPr>
        <w:rtl w:val="0"/>
      </w:rPr>
      <w:t xml:space="preserve">W16D2 - Procedure for Data Retention and Destruction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