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949"/>
        <w:gridCol w:w="2040"/>
        <w:gridCol w:w="2699"/>
        <w:tblGridChange w:id="0">
          <w:tblGrid>
            <w:gridCol w:w="2880"/>
            <w:gridCol w:w="1949"/>
            <w:gridCol w:w="2040"/>
            <w:gridCol w:w="2699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0000"/>
                <w:sz w:val="22"/>
                <w:szCs w:val="22"/>
                <w:rtl w:val="0"/>
              </w:rPr>
              <w:t xml:space="preserve">Proceso de planificación y gestión de objetivos de calidad y riesgos</w:t>
            </w:r>
          </w:p>
        </w:tc>
      </w:tr>
      <w:tr>
        <w:trPr>
          <w:cantSplit w:val="0"/>
          <w:trHeight w:val="139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PR-ES-4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APROBACIÓN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25/11/2021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REVISIÓN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xx/xx/202x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NÚMERO DE REVISIÓN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Verdana" w:cs="Verdana" w:eastAsia="Verdana" w:hAnsi="Verdana"/>
          <w:sz w:val="22"/>
          <w:szCs w:val="2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0" w:orient="portrait"/>
          <w:pgMar w:bottom="0" w:top="0" w:left="1418" w:right="141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Objeto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(Breve descripción del proceso) /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(Short process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objetivo de este proceso es otorgar a la organización una metodología efectiva y sistemática para identificar y gestionar los objetivos de calidad necesarios en los distintos niveles, funciones y procesos de la empresa.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lograr éste fin,  estos objetivos deben ser consistentes, medibles y satisfacer los requisitos pertinentes.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Además, éste proceso también contempla la identificación y tratamiento de riesgos que puedan poner en peligro los objetivos de la empresa.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Alcance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(A quién va dirigido) /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(to whom the process is addressed)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proceso está dirigido al Departamento de Calidad y al Departamento de Informática.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Propietario / Owner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 del Departamento de Calidad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Entradas / Inputs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 de Evaluación de los objetivos de calidad definidos y utilizados en el ejercicio anterior. 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Propuestas de mejora en la identificación de los objetivos de calidad (objetivos mal definidos previamente) por parte de la Comisión de Calidad basadas en el informe anterior.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Salidas / Outputs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Propuesta de adaptación a  la metodología escogida,  en función a las necesidades de la empresa.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Estudio de riesgos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Cliente / Client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específico, nuestro cliente serían todos los empleados del departamento de calidad y del departamento de informática.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Proveedor / Provider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Departamento de calidad.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Inicio / Start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Calidad propone mejoras en la realización o adaptación de una metodología que pueda identificar y gestionar de manera correcta los objetivos de la empresa. 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Fin / End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Evaluación de los resultados obtenidos en la documentación de la nueva metodología creada o adoptada, junto con un estudio exhaustivo de los posibles riesgos a tratar.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Etapas del Proceso / Process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Calidad propone mejoras en la realización o adaptación de una metodología que pueda identificar y gestionar de manera correcta los objetivos de la empresa.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especificación de los procesos del Departamento de Calidad elabora un estudio acerca de qué metodología adoptar basándose en las especificaciones de la empresa.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especificación de los procesos del Departamento de Calidad elabora un estudio de los riesgos que puedan poner en peligro los objetivos de la empresa.Este estudio incluirá la identificación y el tratamiento de los mismos.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Calidad aprueba la propuesta.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Director del Departamento de Calidad difunde el contenido de esta metodología a los empleados a los cuales le afecta la misma (Departamento de Informática y Departamento de Calidad) mediante el correo corporativo.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Comisión de Calidad evalúa los resultados y propone mejoras para las acciones del curso siguiente.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</w:rPr>
        <w:sectPr>
          <w:headerReference r:id="rId13" w:type="default"/>
          <w:footerReference r:id="rId14" w:type="default"/>
          <w:type w:val="nextPage"/>
          <w:pgSz w:h="16840" w:w="11900" w:orient="portrait"/>
          <w:pgMar w:bottom="0" w:top="0" w:left="1418" w:right="141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Modelado del Proceso / Process modelling: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1440" w:firstLine="720"/>
        <w:jc w:val="both"/>
        <w:rPr>
          <w:rFonts w:ascii="Verdana" w:cs="Verdana" w:eastAsia="Verdana" w:hAnsi="Verdana"/>
          <w:b w:val="1"/>
          <w:sz w:val="22"/>
          <w:szCs w:val="22"/>
        </w:rPr>
        <w:sectPr>
          <w:type w:val="nextPage"/>
          <w:pgSz w:h="11900" w:w="16840" w:orient="landscape"/>
          <w:pgMar w:bottom="1412" w:top="1418" w:left="301" w:right="261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</wp:posOffset>
            </wp:positionH>
            <wp:positionV relativeFrom="paragraph">
              <wp:posOffset>333375</wp:posOffset>
            </wp:positionV>
            <wp:extent cx="10335130" cy="32385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513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Indicador de Seguimiento / Follow up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Tasa de cumplimiento de los objetivos de calidad de la empresa.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Tasa de riesgos evitados sobre el total de los mismos.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Documentos de referencia / Documents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INTERNATIONAL STANDARD ISO/IEC/IEEE 90003 First edition 2018-11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Evidencias o registros /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Acta de aprobación de Comisión de Calidad.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 de Metodología implementada.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Acta de la evaluación de los resultados.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Revisión procedimiento / Procedure Review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revisión del presente procedimiento se realiza cuando surge la necesidad como consecuencia de modificaciones producidas en el proceso, identificadas a raíz del desarrollo de una autoevaluación, de una auditoría o del propio funcionamiento del mismo.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Definición de conceptos / Concepts definition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procede.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Anexos / Anexes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</w:t>
      </w:r>
    </w:p>
    <w:sectPr>
      <w:type w:val="nextPage"/>
      <w:pgSz w:h="16840" w:w="11900" w:orient="portrait"/>
      <w:pgMar w:bottom="0" w:top="0" w:left="1418" w:right="141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Calidad del Software</w:t>
      <w:tab/>
      <w:t xml:space="preserve">Procesos de la Gestión de la Calidad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Fernando Arroyo, Carolina Gallardo y Juan Garbajosa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60.999999999999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66"/>
      <w:gridCol w:w="2262"/>
      <w:gridCol w:w="2318"/>
      <w:gridCol w:w="2515"/>
      <w:tblGridChange w:id="0">
        <w:tblGrid>
          <w:gridCol w:w="966"/>
          <w:gridCol w:w="2262"/>
          <w:gridCol w:w="2318"/>
          <w:gridCol w:w="2515"/>
        </w:tblGrid>
      </w:tblGridChange>
    </w:tblGrid>
    <w:tr>
      <w:trPr>
        <w:cantSplit w:val="0"/>
        <w:trHeight w:val="78" w:hRule="atLeast"/>
        <w:tblHeader w:val="0"/>
      </w:trPr>
      <w:tc>
        <w:tcPr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elaboración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revisión</w:t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aprobación</w:t>
          </w:r>
        </w:p>
      </w:tc>
    </w:tr>
    <w:tr>
      <w:trPr>
        <w:cantSplit w:val="0"/>
        <w:trHeight w:val="14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F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Nombre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5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3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Puesto</w:t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6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7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Firma</w:t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1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B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91441</wp:posOffset>
                </wp:positionH>
                <wp:positionV relativeFrom="paragraph">
                  <wp:posOffset>-464184</wp:posOffset>
                </wp:positionV>
                <wp:extent cx="1013460" cy="621665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C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42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0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242060" cy="7620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rFonts w:ascii="Arial" w:cs="Arial" w:eastAsia="Arial" w:hAnsi="Arial"/>
              <w:b w:val="1"/>
              <w:color w:val="1f497d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6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9"/>
      <w:gridCol w:w="7399"/>
      <w:tblGridChange w:id="0">
        <w:tblGrid>
          <w:gridCol w:w="2169"/>
          <w:gridCol w:w="7399"/>
        </w:tblGrid>
      </w:tblGridChange>
    </w:tblGrid>
    <w:tr>
      <w:trPr>
        <w:cantSplit w:val="0"/>
        <w:trHeight w:val="113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4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094415" cy="67142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415" cy="671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4E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 w:val="1"/>
    <w:rsid w:val="00AF2690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5F24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F24E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F24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5F24EE"/>
  </w:style>
  <w:style w:type="character" w:styleId="Hipervnculo">
    <w:name w:val="Hyperlink"/>
    <w:basedOn w:val="Fuentedeprrafopredeter"/>
    <w:rsid w:val="007377FA"/>
    <w:rPr>
      <w:color w:val="0000ff"/>
      <w:u w:val="single"/>
    </w:rPr>
  </w:style>
  <w:style w:type="paragraph" w:styleId="Default" w:customStyle="1">
    <w:name w:val="Default"/>
    <w:rsid w:val="005B2BC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Textoennegrita">
    <w:name w:val="Strong"/>
    <w:basedOn w:val="Fuentedeprrafopredeter"/>
    <w:qFormat w:val="1"/>
    <w:rsid w:val="006B7B2D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0291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029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rsid w:val="00AF2690"/>
    <w:rPr>
      <w:rFonts w:ascii="Cambria" w:hAnsi="Cambria"/>
      <w:b w:val="1"/>
      <w:bCs w:val="1"/>
      <w:color w:val="365f91"/>
      <w:sz w:val="28"/>
      <w:szCs w:val="28"/>
      <w:lang w:bidi="ar-SA"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70EBD"/>
    <w:rPr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EC30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yf9iv/sMthm0ndOa7lmUIjMMw==">AMUW2mW7r6WM0tlENR7KX1BdqBklsY8yrdFPJs8GKO/SpuAzhJq1THHwNEqn8F3LGXRB6lP1YTRlYf8+aMUHPETWjxrlRViAh4RZeFpIhB/TH9T7sl/+v1c=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2021-11-02T12:35:00Z</dcterms:created>
  <dc:creator>Calidad del SW</dc:creator>
</cp:coreProperties>
</file>